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D4" w:rsidRDefault="00374696" w:rsidP="00CA16D4">
      <w:pPr>
        <w:spacing w:before="100" w:beforeAutospacing="1" w:after="100" w:afterAutospacing="1"/>
      </w:pPr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 </w:t>
      </w:r>
      <w:bookmarkStart w:id="0" w:name="＊當要進修較高學位時"/>
      <w:r w:rsidR="00CA16D4">
        <w:rPr>
          <w:rFonts w:ascii="華康中圓體" w:eastAsia="華康中圓體" w:hint="eastAsia"/>
          <w:b/>
          <w:bCs/>
          <w:color w:val="008080"/>
          <w:sz w:val="36"/>
          <w:szCs w:val="36"/>
        </w:rPr>
        <w:t>＊當要進修較高學位時</w:t>
      </w:r>
      <w:bookmarkEnd w:id="0"/>
    </w:p>
    <w:tbl>
      <w:tblPr>
        <w:tblW w:w="4500" w:type="pct"/>
        <w:jc w:val="center"/>
        <w:tblCellSpacing w:w="0" w:type="dxa"/>
        <w:tblInd w:w="-453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755"/>
        <w:gridCol w:w="2326"/>
        <w:gridCol w:w="1754"/>
        <w:gridCol w:w="1435"/>
        <w:gridCol w:w="1268"/>
      </w:tblGrid>
      <w:tr w:rsidR="00CA16D4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項目</w:t>
            </w:r>
          </w:p>
        </w:tc>
        <w:tc>
          <w:tcPr>
            <w:tcW w:w="30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相關規定</w:t>
            </w:r>
          </w:p>
        </w:tc>
        <w:tc>
          <w:tcPr>
            <w:tcW w:w="23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應備表件資料</w:t>
            </w:r>
          </w:p>
        </w:tc>
        <w:tc>
          <w:tcPr>
            <w:tcW w:w="201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辦理時間　</w:t>
            </w:r>
          </w:p>
        </w:tc>
        <w:tc>
          <w:tcPr>
            <w:tcW w:w="17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備註</w:t>
            </w:r>
          </w:p>
        </w:tc>
      </w:tr>
      <w:tr w:rsidR="00CA16D4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報考前</w:t>
            </w:r>
          </w:p>
        </w:tc>
        <w:tc>
          <w:tcPr>
            <w:tcW w:w="30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報考前應填申請書並經校長核准。</w:t>
            </w:r>
          </w:p>
        </w:tc>
        <w:tc>
          <w:tcPr>
            <w:tcW w:w="23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hyperlink r:id="rId6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在職進修報考同意書</w:t>
              </w:r>
            </w:hyperlink>
          </w:p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01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17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 w:rsidP="00962DA2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7" w:history="1">
              <w:r>
                <w:rPr>
                  <w:rStyle w:val="a3"/>
                  <w:rFonts w:ascii="華康中圓體" w:eastAsia="華康中圓體" w:hint="eastAsia"/>
                  <w:color w:val="008080"/>
                  <w:sz w:val="27"/>
                  <w:szCs w:val="27"/>
                </w:rPr>
                <w:t>國立</w:t>
              </w:r>
              <w:r w:rsidR="00962DA2">
                <w:rPr>
                  <w:rStyle w:val="a3"/>
                  <w:rFonts w:ascii="華康中圓體" w:eastAsia="華康中圓體" w:hint="eastAsia"/>
                  <w:color w:val="008080"/>
                  <w:sz w:val="27"/>
                  <w:szCs w:val="27"/>
                </w:rPr>
                <w:t>花蓮</w:t>
              </w:r>
              <w:r>
                <w:rPr>
                  <w:rStyle w:val="a3"/>
                  <w:rFonts w:ascii="華康中圓體" w:eastAsia="華康中圓體" w:hint="eastAsia"/>
                  <w:color w:val="008080"/>
                  <w:sz w:val="27"/>
                  <w:szCs w:val="27"/>
                </w:rPr>
                <w:t>女子高級中學教師在職進修審查優先順序作業規定</w:t>
              </w:r>
            </w:hyperlink>
          </w:p>
        </w:tc>
      </w:tr>
      <w:tr w:rsidR="00CA16D4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錄取後</w:t>
            </w:r>
          </w:p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30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部分辦公時間進修：</w:t>
            </w:r>
          </w:p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為利課務安排，每學期就讀請填公假申請書。</w:t>
            </w:r>
          </w:p>
        </w:tc>
        <w:tc>
          <w:tcPr>
            <w:tcW w:w="23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8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在職進修學位公假申請書</w:t>
              </w:r>
            </w:hyperlink>
          </w:p>
        </w:tc>
        <w:tc>
          <w:tcPr>
            <w:tcW w:w="201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17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  <w:tr w:rsidR="00CA16D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vAlign w:val="center"/>
            <w:hideMark/>
          </w:tcPr>
          <w:p w:rsidR="00CA16D4" w:rsidRDefault="00CA16D4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0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留職停薪進修：</w:t>
            </w:r>
          </w:p>
          <w:p w:rsidR="00CA16D4" w:rsidRDefault="00CA16D4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1.教育人員留職停薪辦法。</w:t>
            </w:r>
          </w:p>
          <w:p w:rsidR="00CA16D4" w:rsidRDefault="00CA16D4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2.請填留職停薪進修申請書。</w:t>
            </w:r>
          </w:p>
        </w:tc>
        <w:tc>
          <w:tcPr>
            <w:tcW w:w="23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ind w:left="276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9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留職停薪進修申請書</w:t>
              </w:r>
            </w:hyperlink>
          </w:p>
          <w:p w:rsidR="00CA16D4" w:rsidRDefault="00CA16D4">
            <w:pPr>
              <w:pStyle w:val="Web"/>
              <w:spacing w:before="0" w:beforeAutospacing="0" w:after="0" w:afterAutospacing="0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華康中圓體" w:eastAsia="華康中圓體" w:hAnsi="Times New Roman" w:cs="Times New Roman" w:hint="eastAsia"/>
                <w:b w:val="0"/>
                <w:bCs w:val="0"/>
                <w:color w:val="008080"/>
                <w:sz w:val="27"/>
                <w:szCs w:val="27"/>
              </w:rPr>
              <w:t>2.</w:t>
            </w:r>
            <w:hyperlink r:id="rId10" w:history="1"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t>公教人員保</w:t>
              </w:r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lastRenderedPageBreak/>
                <w:t>險被保險人非育嬰留職停薪選擇續(退)保同意書</w:t>
              </w:r>
            </w:hyperlink>
            <w:r>
              <w:rPr>
                <w:rStyle w:val="a8"/>
                <w:rFonts w:ascii="華康中圓體" w:eastAsia="華康中圓體" w:hAnsi="Times New Roman" w:cs="Times New Roman" w:hint="eastAsia"/>
                <w:b w:val="0"/>
                <w:bCs w:val="0"/>
                <w:color w:val="008080"/>
                <w:sz w:val="27"/>
                <w:szCs w:val="27"/>
              </w:rPr>
              <w:t>。</w:t>
            </w:r>
          </w:p>
          <w:p w:rsidR="00CA16D4" w:rsidRDefault="00CA16D4">
            <w:pPr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3</w:t>
            </w:r>
            <w:r>
              <w:rPr>
                <w:rFonts w:ascii="華康中圓體" w:eastAsia="華康中圓體" w:hint="eastAsia"/>
                <w:color w:val="0000FF"/>
                <w:sz w:val="27"/>
                <w:szCs w:val="27"/>
              </w:rPr>
              <w:t>.</w:t>
            </w:r>
            <w:hyperlink r:id="rId11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全民健康保險保險對象退保(</w:t>
              </w:r>
              <w:r>
                <w:rPr>
                  <w:rStyle w:val="a3"/>
                  <w:rFonts w:ascii="華康中圓體" w:eastAsia="華康中圓體" w:hint="eastAsia"/>
                  <w:color w:val="008080"/>
                  <w:sz w:val="27"/>
                  <w:szCs w:val="27"/>
                  <w:u w:val="none"/>
                </w:rPr>
                <w:t>轉出)申報表</w:t>
              </w:r>
            </w:hyperlink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。</w:t>
            </w:r>
          </w:p>
        </w:tc>
        <w:tc>
          <w:tcPr>
            <w:tcW w:w="201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  <w:tr w:rsidR="00CA16D4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口試</w:t>
            </w:r>
          </w:p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通過</w:t>
            </w:r>
          </w:p>
        </w:tc>
        <w:tc>
          <w:tcPr>
            <w:tcW w:w="30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1.口試通過後未領取學位證書前，請先備齊相關資料供人事室先行初審作業，以維當事人權益：</w:t>
            </w:r>
          </w:p>
          <w:p w:rsidR="00CA16D4" w:rsidRDefault="00CA16D4">
            <w:pPr>
              <w:spacing w:before="100" w:beforeAutospacing="1" w:after="100" w:afterAutospacing="1"/>
              <w:ind w:left="720" w:hanging="60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（1）初任教師時之派令或聘書1份正本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及影本。</w:t>
            </w:r>
          </w:p>
          <w:p w:rsidR="00CA16D4" w:rsidRDefault="00CA16D4">
            <w:pPr>
              <w:spacing w:before="100" w:beforeAutospacing="1" w:after="100" w:afterAutospacing="1"/>
              <w:ind w:left="739" w:hanging="60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（2）教師時敘薪通知書1份正本及影本。</w:t>
            </w:r>
          </w:p>
          <w:p w:rsidR="00CA16D4" w:rsidRDefault="00CA16D4">
            <w:pPr>
              <w:spacing w:before="100" w:beforeAutospacing="1" w:after="100" w:afterAutospacing="1"/>
              <w:ind w:left="720" w:hanging="60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（3）歷年考核通知書正本及影本。</w:t>
            </w:r>
          </w:p>
          <w:p w:rsidR="00CA16D4" w:rsidRDefault="00CA16D4">
            <w:pPr>
              <w:spacing w:before="100" w:beforeAutospacing="1" w:after="100" w:afterAutospacing="1"/>
              <w:ind w:left="720" w:hanging="72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（4）研究所進修歷年成績單(證明修業年限) 正本及影本。</w:t>
            </w:r>
          </w:p>
          <w:p w:rsidR="00CA16D4" w:rsidRDefault="00CA16D4">
            <w:pPr>
              <w:spacing w:before="100" w:beforeAutospacing="1" w:after="100" w:afterAutospacing="1"/>
              <w:ind w:left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於七月底前改敘者，以改敘後薪級辦理成績考核。</w:t>
            </w:r>
          </w:p>
          <w:p w:rsidR="00CA16D4" w:rsidRDefault="00CA16D4">
            <w:pPr>
              <w:spacing w:before="100" w:beforeAutospacing="1" w:after="100" w:afterAutospacing="1"/>
              <w:ind w:left="240" w:hanging="240"/>
              <w:jc w:val="both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2.取得新資格申請改敘者，自審定</w:t>
            </w: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改敘之日起改支。</w:t>
            </w:r>
          </w:p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　</w:t>
            </w:r>
          </w:p>
        </w:tc>
        <w:tc>
          <w:tcPr>
            <w:tcW w:w="23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1.</w:t>
            </w:r>
            <w:hyperlink r:id="rId12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取得較高學歷提敘申請書</w:t>
              </w:r>
            </w:hyperlink>
            <w:hyperlink r:id="rId13" w:history="1">
              <w:r>
                <w:rPr>
                  <w:rStyle w:val="a3"/>
                  <w:rFonts w:ascii="華康中圓體" w:eastAsia="華康中圓體" w:hint="eastAsia"/>
                  <w:color w:val="008080"/>
                  <w:sz w:val="27"/>
                  <w:szCs w:val="27"/>
                  <w:u w:val="none"/>
                </w:rPr>
                <w:t>。</w:t>
              </w:r>
            </w:hyperlink>
          </w:p>
          <w:p w:rsidR="00CA16D4" w:rsidRDefault="00CA1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2.留職停薪進修人員請另填</w:t>
            </w:r>
            <w:hyperlink r:id="rId14" w:history="1"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t>復職申請書</w:t>
              </w:r>
            </w:hyperlink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。</w:t>
            </w:r>
          </w:p>
          <w:p w:rsidR="00CA16D4" w:rsidRDefault="00CA16D4">
            <w:pPr>
              <w:pStyle w:val="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3</w:t>
            </w:r>
            <w:r>
              <w:rPr>
                <w:rFonts w:ascii="華康中圓體" w:eastAsia="華康中圓體" w:hAnsi="Times New Roman" w:cs="Times New Roman" w:hint="eastAsia"/>
                <w:color w:val="0000FF"/>
                <w:sz w:val="27"/>
                <w:szCs w:val="27"/>
              </w:rPr>
              <w:t>.</w:t>
            </w:r>
            <w:hyperlink r:id="rId15" w:history="1"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t xml:space="preserve">全民健康保險保險對象 </w:t>
              </w:r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lastRenderedPageBreak/>
                <w:t>復保</w:t>
              </w:r>
            </w:hyperlink>
            <w:hyperlink r:id="rId16" w:history="1"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t>(</w:t>
              </w:r>
              <w:r>
                <w:rPr>
                  <w:rStyle w:val="a3"/>
                  <w:rFonts w:ascii="華康中圓體" w:eastAsia="華康中圓體" w:hAnsi="Times New Roman" w:cs="Times New Roman" w:hint="eastAsia"/>
                  <w:color w:val="008080"/>
                  <w:sz w:val="27"/>
                  <w:szCs w:val="27"/>
                  <w:u w:val="none"/>
                </w:rPr>
                <w:t>轉 入)申報表</w:t>
              </w:r>
            </w:hyperlink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。</w:t>
            </w:r>
          </w:p>
        </w:tc>
        <w:tc>
          <w:tcPr>
            <w:tcW w:w="201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  <w:tr w:rsidR="00CA16D4">
        <w:trPr>
          <w:tblCellSpacing w:w="0" w:type="dxa"/>
          <w:jc w:val="center"/>
        </w:trPr>
        <w:tc>
          <w:tcPr>
            <w:tcW w:w="9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lastRenderedPageBreak/>
              <w:t>取得畢業證書</w:t>
            </w:r>
          </w:p>
        </w:tc>
        <w:tc>
          <w:tcPr>
            <w:tcW w:w="307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進修取得較高學歷申請改敘時，得改按新學歷起敘，並採計不含進修期間之服務成績優良年資，在本職最高薪範圍內按年提敘。</w:t>
            </w:r>
          </w:p>
        </w:tc>
        <w:tc>
          <w:tcPr>
            <w:tcW w:w="23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持證書正本、影本至人事室辦理提敘。</w:t>
            </w:r>
          </w:p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01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17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6D4" w:rsidRDefault="00CA16D4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</w:tbl>
    <w:p w:rsidR="00F51FA8" w:rsidRPr="00CA16D4" w:rsidRDefault="00CA16D4" w:rsidP="0024667C">
      <w:pPr>
        <w:spacing w:before="100" w:beforeAutospacing="1" w:after="100" w:afterAutospacing="1"/>
        <w:jc w:val="center"/>
      </w:pPr>
      <w:hyperlink r:id="rId17" w:anchor="同仁相關權益提醒事項" w:tooltip="回頁首" w:history="1">
        <w:r>
          <w:rPr>
            <w:noProof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23850" cy="314325"/>
              <wp:effectExtent l="19050" t="0" r="0" b="0"/>
              <wp:wrapSquare wrapText="bothSides"/>
              <wp:docPr id="2" name="圖片 2" descr="C:\Users\user\Desktop\我的網站103\1權益專區.files\0058.gif">
                <a:hlinkClick xmlns:a="http://schemas.openxmlformats.org/drawingml/2006/main" r:id="rId18" tooltip="&quot;回頁首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Desktop\我的網站103\1權益專區.files\0058.gif">
                        <a:hlinkClick r:id="rId18" tooltip="&quot;回頁首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sectPr w:rsidR="00F51FA8" w:rsidRPr="00CA16D4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67" w:rsidRDefault="00A71567" w:rsidP="00CA16D4">
      <w:r>
        <w:separator/>
      </w:r>
    </w:p>
  </w:endnote>
  <w:endnote w:type="continuationSeparator" w:id="0">
    <w:p w:rsidR="00A71567" w:rsidRDefault="00A71567" w:rsidP="00CA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67" w:rsidRDefault="00A71567" w:rsidP="00CA16D4">
      <w:r>
        <w:separator/>
      </w:r>
    </w:p>
  </w:footnote>
  <w:footnote w:type="continuationSeparator" w:id="0">
    <w:p w:rsidR="00A71567" w:rsidRDefault="00A71567" w:rsidP="00CA1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24667C"/>
    <w:rsid w:val="00374696"/>
    <w:rsid w:val="009151B9"/>
    <w:rsid w:val="00962DA2"/>
    <w:rsid w:val="00A71567"/>
    <w:rsid w:val="00BA2F06"/>
    <w:rsid w:val="00CA16D4"/>
    <w:rsid w:val="00CD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1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A16D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A1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A16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A16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A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25105;&#30340;&#32178;&#31449;103\&#21508;&#38917;&#34920;&#26684;\&#22312;&#32887;&#36914;&#20462;&#23416;&#20301;&#20844;&#20551;&#30003;&#35531;&#26360;1021122.doc" TargetMode="External"/><Relationship Id="rId13" Type="http://schemas.openxmlformats.org/officeDocument/2006/relationships/hyperlink" Target="file:///E:\Pemis2K\Db\&#34920;&#26684;\&#25945;&#24107;&#21462;&#24471;&#30889;&#21338;&#22763;&#25913;&#25944;&#30003;&#35531;&#26360;1021122.doc" TargetMode="External"/><Relationship Id="rId18" Type="http://schemas.openxmlformats.org/officeDocument/2006/relationships/hyperlink" Target="file:///C:\Users\user\Desktop\&#25105;&#30340;&#32178;&#31449;103\1&#27402;&#30410;&#23560;&#21312;.htm%23&#21516;&#20161;&#30456;&#38364;&#27402;&#30410;&#25552;&#37266;&#20107;&#38917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esktop\&#25105;&#30340;&#32178;&#31449;103\10&#27861;&#20196;&#35215;&#31456;.files\&#36914;&#20462;&#38918;&#24207;&#23529;&#26597;&#35215;&#23450;&#65288;970416&#20462;&#27491;&#36890;&#36942;&#65289;&#26657;&#20839;&#35215;&#31456;.doc" TargetMode="External"/><Relationship Id="rId12" Type="http://schemas.openxmlformats.org/officeDocument/2006/relationships/hyperlink" Target="file:///E:\Pemis2K\Db\&#34920;&#26684;\&#25945;&#24107;&#21462;&#24471;&#30889;&#21338;&#22763;&#25913;&#25944;&#30003;&#35531;&#26360;1021122.doc" TargetMode="External"/><Relationship Id="rId17" Type="http://schemas.openxmlformats.org/officeDocument/2006/relationships/hyperlink" Target="file:///C:\Users\user\Desktop\&#25105;&#30340;&#32178;&#31449;103\1&#27402;&#30410;&#23560;&#21312;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25105;&#30340;&#32178;&#31449;103\1&#27402;&#30410;&#23560;&#21312;.files\&#20581;&#20445;&#36864;&#20445;&#34920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&#21508;&#38917;&#34920;&#26684;\&#22312;&#32887;&#36914;&#20462;&#22577;&#32771;&#21516;&#24847;&#26360;1021122.doc" TargetMode="External"/><Relationship Id="rId11" Type="http://schemas.openxmlformats.org/officeDocument/2006/relationships/hyperlink" Target="file:///C:\Users\user\Desktop\&#25105;&#30340;&#32178;&#31449;103\1&#27402;&#30410;&#23560;&#21312;.files\&#20581;&#20445;&#36864;&#20445;&#34920;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25105;&#30340;&#32178;&#31449;103\1&#27402;&#30410;&#23560;&#21312;.files\11432_1_2-3&#20581;&#20445;&#20572;&#24489;&#20445;MN&#34920;.doc" TargetMode="External"/><Relationship Id="rId10" Type="http://schemas.openxmlformats.org/officeDocument/2006/relationships/hyperlink" Target="file:///C:\Users\user\Desktop\&#25105;&#30340;&#32178;&#31449;103\&#21508;&#38917;&#34920;&#26684;\&#20844;&#25945;&#20154;&#21729;&#20445;&#38570;&#34987;&#20445;&#38570;&#20154;&#38750;&#32946;&#23344;&#30041;&#32887;&#20572;&#34218;&#36984;&#25799;&#32396;(&#36864;)&#20445;&#21516;&#24847;&#26360;.doc" TargetMode="External"/><Relationship Id="rId19" Type="http://schemas.openxmlformats.org/officeDocument/2006/relationships/image" Target="media/image1.gif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25105;&#30340;&#32178;&#31449;103\&#21508;&#38917;&#34920;&#26684;\&#30041;&#32887;&#20572;&#34218;&#30003;&#35531;&#26360;.doc" TargetMode="External"/><Relationship Id="rId14" Type="http://schemas.openxmlformats.org/officeDocument/2006/relationships/hyperlink" Target="file:///C:\Users\user\Desktop\&#25105;&#30340;&#32178;&#31449;103\4&#36914;&#20462;&#30740;&#32722;.files\&#24489;&#32887;&#30003;&#35531;&#2636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1389</Characters>
  <Application>Microsoft Office Word</Application>
  <DocSecurity>0</DocSecurity>
  <Lines>11</Lines>
  <Paragraphs>3</Paragraphs>
  <ScaleCrop>false</ScaleCrop>
  <Company>C.M.T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2017-12-16T01:48:00Z</dcterms:created>
  <dcterms:modified xsi:type="dcterms:W3CDTF">2017-12-16T01:49:00Z</dcterms:modified>
</cp:coreProperties>
</file>