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1C" w:rsidRPr="00ED3F1C" w:rsidRDefault="00564327" w:rsidP="00ED3F1C">
      <w:pPr>
        <w:jc w:val="center"/>
        <w:rPr>
          <w:rFonts w:ascii="標楷體" w:eastAsia="標楷體" w:hAnsi="標楷體"/>
          <w:b/>
          <w:sz w:val="36"/>
          <w:szCs w:val="36"/>
        </w:rPr>
      </w:pPr>
      <w:r w:rsidRPr="00ED3F1C">
        <w:rPr>
          <w:rFonts w:ascii="標楷體" w:eastAsia="標楷體" w:hAnsi="標楷體" w:hint="eastAsia"/>
          <w:b/>
          <w:sz w:val="36"/>
          <w:szCs w:val="36"/>
        </w:rPr>
        <w:t>國立花蓮女子高級中學</w:t>
      </w:r>
      <w:r w:rsidR="00241393" w:rsidRPr="00ED3F1C">
        <w:rPr>
          <w:rFonts w:ascii="標楷體" w:eastAsia="標楷體" w:hAnsi="標楷體"/>
          <w:b/>
          <w:sz w:val="36"/>
          <w:szCs w:val="36"/>
        </w:rPr>
        <w:t>危害鑑別風險評估執行</w:t>
      </w:r>
      <w:r w:rsidR="00ED3F1C" w:rsidRPr="00ED3F1C">
        <w:rPr>
          <w:rFonts w:ascii="標楷體" w:eastAsia="標楷體" w:hAnsi="標楷體"/>
          <w:b/>
          <w:sz w:val="36"/>
          <w:szCs w:val="36"/>
        </w:rPr>
        <w:t>要點</w:t>
      </w:r>
    </w:p>
    <w:p w:rsidR="00241393" w:rsidRPr="00ED3F1C" w:rsidRDefault="00ED3F1C" w:rsidP="00ED3F1C">
      <w:pPr>
        <w:jc w:val="right"/>
        <w:rPr>
          <w:rFonts w:ascii="標楷體" w:eastAsia="標楷體" w:hAnsi="標楷體"/>
          <w:sz w:val="20"/>
          <w:szCs w:val="20"/>
        </w:rPr>
      </w:pPr>
      <w:r w:rsidRPr="00ED3F1C">
        <w:rPr>
          <w:rFonts w:ascii="標楷體" w:eastAsia="標楷體" w:hAnsi="標楷體" w:hint="eastAsia"/>
        </w:rPr>
        <w:t xml:space="preserve"> </w:t>
      </w:r>
      <w:r w:rsidR="00D55A29" w:rsidRPr="00ED3F1C">
        <w:rPr>
          <w:rFonts w:ascii="標楷體" w:eastAsia="標楷體" w:hAnsi="標楷體"/>
          <w:sz w:val="16"/>
          <w:szCs w:val="16"/>
        </w:rPr>
        <w:t>2019</w:t>
      </w:r>
      <w:r w:rsidR="00D55A29" w:rsidRPr="00ED3F1C">
        <w:rPr>
          <w:rFonts w:ascii="標楷體" w:eastAsia="標楷體" w:hAnsi="標楷體" w:hint="eastAsia"/>
          <w:sz w:val="16"/>
          <w:szCs w:val="16"/>
        </w:rPr>
        <w:t>年</w:t>
      </w:r>
      <w:r w:rsidR="00D55A29" w:rsidRPr="00ED3F1C">
        <w:rPr>
          <w:rFonts w:ascii="標楷體" w:eastAsia="標楷體" w:hAnsi="標楷體"/>
          <w:sz w:val="16"/>
          <w:szCs w:val="16"/>
        </w:rPr>
        <w:t>11</w:t>
      </w:r>
      <w:r w:rsidR="00D55A29" w:rsidRPr="00ED3F1C">
        <w:rPr>
          <w:rFonts w:ascii="標楷體" w:eastAsia="標楷體" w:hAnsi="標楷體" w:hint="eastAsia"/>
          <w:sz w:val="16"/>
          <w:szCs w:val="16"/>
        </w:rPr>
        <w:t>月</w:t>
      </w:r>
      <w:r w:rsidR="00D55A29" w:rsidRPr="00ED3F1C">
        <w:rPr>
          <w:rFonts w:ascii="標楷體" w:eastAsia="標楷體" w:hAnsi="標楷體"/>
          <w:sz w:val="16"/>
          <w:szCs w:val="16"/>
        </w:rPr>
        <w:t>12</w:t>
      </w:r>
      <w:r w:rsidR="003A7416" w:rsidRPr="00ED3F1C">
        <w:rPr>
          <w:rFonts w:ascii="標楷體" w:eastAsia="標楷體" w:hAnsi="標楷體" w:hint="eastAsia"/>
          <w:sz w:val="16"/>
          <w:szCs w:val="16"/>
        </w:rPr>
        <w:t>日行政</w:t>
      </w:r>
      <w:r w:rsidR="00D55A29" w:rsidRPr="00ED3F1C">
        <w:rPr>
          <w:rFonts w:ascii="標楷體" w:eastAsia="標楷體" w:hAnsi="標楷體" w:hint="eastAsia"/>
          <w:sz w:val="16"/>
          <w:szCs w:val="16"/>
        </w:rPr>
        <w:t>會議通過</w:t>
      </w:r>
    </w:p>
    <w:p w:rsidR="00241393" w:rsidRPr="00ED3F1C" w:rsidRDefault="00ED3F1C" w:rsidP="00ED3F1C">
      <w:pPr>
        <w:tabs>
          <w:tab w:val="left" w:pos="0"/>
        </w:tabs>
        <w:spacing w:line="360" w:lineRule="auto"/>
        <w:ind w:left="1201" w:hangingChars="500" w:hanging="1201"/>
        <w:rPr>
          <w:rFonts w:eastAsia="標楷體"/>
          <w:b/>
        </w:rPr>
      </w:pPr>
      <w:r>
        <w:rPr>
          <w:rFonts w:eastAsia="標楷體"/>
          <w:b/>
        </w:rPr>
        <w:t>一、</w:t>
      </w:r>
      <w:r w:rsidR="00241393" w:rsidRPr="00ED3F1C">
        <w:rPr>
          <w:rFonts w:eastAsia="標楷體"/>
          <w:b/>
        </w:rPr>
        <w:t>目的：</w:t>
      </w:r>
      <w:r w:rsidR="00241393" w:rsidRPr="00ED3F1C">
        <w:rPr>
          <w:rFonts w:eastAsia="標楷體"/>
        </w:rPr>
        <w:t>為有效達到安全衛生管理之工作，因此</w:t>
      </w:r>
      <w:r w:rsidR="00564327" w:rsidRPr="00ED3F1C">
        <w:rPr>
          <w:rFonts w:eastAsia="標楷體" w:hint="eastAsia"/>
        </w:rPr>
        <w:t>國立花蓮女子高級中學</w:t>
      </w:r>
      <w:r w:rsidR="00564327" w:rsidRPr="00ED3F1C">
        <w:rPr>
          <w:rFonts w:eastAsia="標楷體" w:hint="eastAsia"/>
        </w:rPr>
        <w:t>(</w:t>
      </w:r>
      <w:r w:rsidR="00564327" w:rsidRPr="00ED3F1C">
        <w:rPr>
          <w:rFonts w:eastAsia="標楷體" w:hint="eastAsia"/>
        </w:rPr>
        <w:t>以下簡稱</w:t>
      </w:r>
      <w:r w:rsidR="00564327" w:rsidRPr="00ED3F1C">
        <w:rPr>
          <w:rFonts w:eastAsia="標楷體" w:hint="eastAsia"/>
        </w:rPr>
        <w:t>:</w:t>
      </w:r>
      <w:r w:rsidR="00241393" w:rsidRPr="00ED3F1C">
        <w:rPr>
          <w:rFonts w:eastAsia="標楷體"/>
        </w:rPr>
        <w:t>本校</w:t>
      </w:r>
      <w:r w:rsidR="00564327" w:rsidRPr="00ED3F1C">
        <w:rPr>
          <w:rFonts w:eastAsia="標楷體" w:hint="eastAsia"/>
        </w:rPr>
        <w:t>)</w:t>
      </w:r>
      <w:r w:rsidR="00241393" w:rsidRPr="00ED3F1C">
        <w:rPr>
          <w:rFonts w:eastAsia="標楷體"/>
        </w:rPr>
        <w:t>將針對各項</w:t>
      </w:r>
      <w:r w:rsidR="0068295E" w:rsidRPr="00ED3F1C">
        <w:rPr>
          <w:rFonts w:eastAsia="標楷體" w:hint="eastAsia"/>
        </w:rPr>
        <w:t>作業</w:t>
      </w:r>
      <w:r w:rsidR="00241393" w:rsidRPr="00ED3F1C">
        <w:rPr>
          <w:rFonts w:eastAsia="標楷體"/>
        </w:rPr>
        <w:t>程序可能造成</w:t>
      </w:r>
      <w:r w:rsidR="00D40DE1" w:rsidRPr="00ED3F1C">
        <w:rPr>
          <w:rFonts w:eastAsia="標楷體" w:hint="eastAsia"/>
        </w:rPr>
        <w:t>內外</w:t>
      </w:r>
      <w:r w:rsidR="001B7D46" w:rsidRPr="00ED3F1C">
        <w:rPr>
          <w:rFonts w:eastAsia="標楷體" w:hint="eastAsia"/>
        </w:rPr>
        <w:t>部</w:t>
      </w:r>
      <w:r w:rsidR="00D40DE1" w:rsidRPr="00ED3F1C">
        <w:rPr>
          <w:rFonts w:eastAsia="標楷體" w:hint="eastAsia"/>
        </w:rPr>
        <w:t>人員（包含承攬商</w:t>
      </w:r>
      <w:r w:rsidR="001B7D46" w:rsidRPr="00ED3F1C">
        <w:rPr>
          <w:rFonts w:ascii="標楷體" w:eastAsia="標楷體" w:hAnsi="標楷體" w:cs="新細明體" w:hint="eastAsia"/>
          <w:kern w:val="0"/>
        </w:rPr>
        <w:t>僱用之勞工與自營作業者</w:t>
      </w:r>
      <w:r w:rsidR="00D40DE1" w:rsidRPr="00ED3F1C">
        <w:rPr>
          <w:rFonts w:eastAsia="標楷體" w:hint="eastAsia"/>
        </w:rPr>
        <w:t>及訪客</w:t>
      </w:r>
      <w:r w:rsidR="001B7D46" w:rsidRPr="00ED3F1C">
        <w:rPr>
          <w:rFonts w:eastAsia="標楷體" w:hint="eastAsia"/>
        </w:rPr>
        <w:t>;</w:t>
      </w:r>
      <w:r w:rsidR="001B7D46" w:rsidRPr="00ED3F1C">
        <w:rPr>
          <w:rFonts w:eastAsia="標楷體" w:hint="eastAsia"/>
        </w:rPr>
        <w:t>以下簡稱</w:t>
      </w:r>
      <w:r w:rsidR="001B7D46" w:rsidRPr="00ED3F1C">
        <w:rPr>
          <w:rFonts w:eastAsia="標楷體" w:hint="eastAsia"/>
        </w:rPr>
        <w:t xml:space="preserve">: </w:t>
      </w:r>
      <w:r w:rsidR="001B7D46" w:rsidRPr="00ED3F1C">
        <w:rPr>
          <w:rFonts w:eastAsia="標楷體" w:hint="eastAsia"/>
        </w:rPr>
        <w:t>承攬商及訪客</w:t>
      </w:r>
      <w:r w:rsidR="00D40DE1" w:rsidRPr="00ED3F1C">
        <w:rPr>
          <w:rFonts w:eastAsia="標楷體" w:hint="eastAsia"/>
        </w:rPr>
        <w:t>）</w:t>
      </w:r>
      <w:r w:rsidR="00241393" w:rsidRPr="00ED3F1C">
        <w:rPr>
          <w:rFonts w:eastAsia="標楷體"/>
        </w:rPr>
        <w:t>傷害或事故者，進行危害鑑別、風險評估及控制措施等程序，並以績效管理之方式進行持續改善，並藉以修訂安全衛生政策與目標、及</w:t>
      </w:r>
      <w:r w:rsidR="001B7D46" w:rsidRPr="00ED3F1C">
        <w:rPr>
          <w:rFonts w:eastAsia="標楷體" w:hint="eastAsia"/>
        </w:rPr>
        <w:t>作為</w:t>
      </w:r>
      <w:r w:rsidR="00241393" w:rsidRPr="00ED3F1C">
        <w:rPr>
          <w:rFonts w:eastAsia="標楷體"/>
        </w:rPr>
        <w:t>規劃安全衛</w:t>
      </w:r>
      <w:r w:rsidR="004D63DF" w:rsidRPr="00ED3F1C">
        <w:rPr>
          <w:rFonts w:eastAsia="標楷體" w:hint="eastAsia"/>
        </w:rPr>
        <w:t>生</w:t>
      </w:r>
      <w:r w:rsidR="00241393" w:rsidRPr="00ED3F1C">
        <w:rPr>
          <w:rFonts w:eastAsia="標楷體"/>
        </w:rPr>
        <w:t>管理工作之依據，進而提高安全衛生管理工作之效率，</w:t>
      </w:r>
      <w:r w:rsidR="001B7D46" w:rsidRPr="00ED3F1C">
        <w:rPr>
          <w:rFonts w:eastAsia="標楷體" w:hint="eastAsia"/>
        </w:rPr>
        <w:t>本校</w:t>
      </w:r>
      <w:r w:rsidR="00241393" w:rsidRPr="00ED3F1C">
        <w:rPr>
          <w:rFonts w:eastAsia="標楷體"/>
        </w:rPr>
        <w:t>以「零災害、零事故」</w:t>
      </w:r>
      <w:r w:rsidR="001B7D46" w:rsidRPr="00ED3F1C">
        <w:rPr>
          <w:rFonts w:eastAsia="標楷體" w:hint="eastAsia"/>
        </w:rPr>
        <w:t>為</w:t>
      </w:r>
      <w:r w:rsidR="00241393" w:rsidRPr="00ED3F1C">
        <w:rPr>
          <w:rFonts w:eastAsia="標楷體"/>
        </w:rPr>
        <w:t>最終目標。</w:t>
      </w:r>
    </w:p>
    <w:p w:rsidR="004767E9" w:rsidRPr="00ED3F1C" w:rsidRDefault="00ED3F1C" w:rsidP="00ED3F1C">
      <w:pPr>
        <w:tabs>
          <w:tab w:val="left" w:pos="426"/>
        </w:tabs>
        <w:spacing w:line="360" w:lineRule="auto"/>
        <w:ind w:left="1201" w:hangingChars="500" w:hanging="1201"/>
        <w:rPr>
          <w:rFonts w:eastAsia="標楷體"/>
          <w:b/>
        </w:rPr>
      </w:pPr>
      <w:r>
        <w:rPr>
          <w:rFonts w:eastAsia="標楷體" w:hint="eastAsia"/>
          <w:b/>
        </w:rPr>
        <w:t>二</w:t>
      </w:r>
      <w:r>
        <w:rPr>
          <w:rFonts w:eastAsia="標楷體" w:hint="eastAsia"/>
          <w:b/>
        </w:rPr>
        <w:t xml:space="preserve"> </w:t>
      </w:r>
      <w:r>
        <w:rPr>
          <w:rFonts w:eastAsia="標楷體"/>
          <w:b/>
        </w:rPr>
        <w:t>、</w:t>
      </w:r>
      <w:r w:rsidR="00241393" w:rsidRPr="00ED3F1C">
        <w:rPr>
          <w:rFonts w:eastAsia="標楷體"/>
          <w:b/>
        </w:rPr>
        <w:t>範圍：</w:t>
      </w:r>
      <w:r w:rsidR="00241393" w:rsidRPr="00ED3F1C">
        <w:rPr>
          <w:rFonts w:eastAsia="標楷體"/>
        </w:rPr>
        <w:t>凡</w:t>
      </w:r>
      <w:r w:rsidR="004767E9" w:rsidRPr="00ED3F1C">
        <w:rPr>
          <w:rFonts w:eastAsia="標楷體" w:hint="eastAsia"/>
        </w:rPr>
        <w:t>校內</w:t>
      </w:r>
      <w:r w:rsidR="00241393" w:rsidRPr="00ED3F1C">
        <w:rPr>
          <w:rFonts w:eastAsia="標楷體"/>
        </w:rPr>
        <w:t>所有對安全衛生</w:t>
      </w:r>
      <w:r w:rsidR="001B7D46" w:rsidRPr="00ED3F1C">
        <w:rPr>
          <w:rFonts w:eastAsia="標楷體" w:hint="eastAsia"/>
        </w:rPr>
        <w:t>事故能</w:t>
      </w:r>
      <w:r w:rsidR="00241393" w:rsidRPr="00ED3F1C">
        <w:rPr>
          <w:rFonts w:eastAsia="標楷體"/>
        </w:rPr>
        <w:t>造成直接或間接危害</w:t>
      </w:r>
      <w:r w:rsidR="00D40DE1" w:rsidRPr="00ED3F1C">
        <w:rPr>
          <w:rFonts w:eastAsia="標楷體" w:hint="eastAsia"/>
        </w:rPr>
        <w:t>校內外人員（包含承攬商及訪客）</w:t>
      </w:r>
      <w:r w:rsidR="004767E9" w:rsidRPr="00ED3F1C">
        <w:rPr>
          <w:rFonts w:eastAsia="標楷體" w:hint="eastAsia"/>
        </w:rPr>
        <w:t>之生命或健康者，或預期其可能會造成財產損失者。</w:t>
      </w:r>
    </w:p>
    <w:p w:rsidR="00276787" w:rsidRDefault="00B15F5C" w:rsidP="00276787">
      <w:pPr>
        <w:tabs>
          <w:tab w:val="left" w:pos="426"/>
        </w:tabs>
        <w:spacing w:line="360" w:lineRule="auto"/>
        <w:rPr>
          <w:rFonts w:eastAsia="標楷體"/>
          <w:b/>
        </w:rPr>
      </w:pPr>
      <w:r>
        <w:rPr>
          <w:rFonts w:eastAsia="標楷體"/>
          <w:b/>
        </w:rPr>
        <w:t>三、</w:t>
      </w:r>
      <w:r w:rsidR="00241393" w:rsidRPr="00B15F5C">
        <w:rPr>
          <w:rFonts w:eastAsia="標楷體"/>
          <w:b/>
        </w:rPr>
        <w:t>定義：</w:t>
      </w:r>
    </w:p>
    <w:p w:rsidR="00241393" w:rsidRPr="00276787" w:rsidRDefault="00276787" w:rsidP="00276787">
      <w:pPr>
        <w:tabs>
          <w:tab w:val="left" w:pos="426"/>
        </w:tabs>
        <w:spacing w:line="360" w:lineRule="auto"/>
        <w:ind w:leftChars="100" w:left="720" w:hangingChars="200" w:hanging="480"/>
        <w:rPr>
          <w:rFonts w:eastAsia="標楷體"/>
          <w:b/>
        </w:rPr>
      </w:pPr>
      <w:r>
        <w:rPr>
          <w:rFonts w:eastAsia="標楷體"/>
          <w:b/>
        </w:rPr>
        <w:t>(</w:t>
      </w:r>
      <w:r>
        <w:rPr>
          <w:rFonts w:eastAsia="標楷體"/>
          <w:b/>
        </w:rPr>
        <w:t>一</w:t>
      </w:r>
      <w:r>
        <w:rPr>
          <w:rFonts w:eastAsia="標楷體"/>
          <w:b/>
        </w:rPr>
        <w:t>)</w:t>
      </w:r>
      <w:r w:rsidR="00241393" w:rsidRPr="00276787">
        <w:rPr>
          <w:rFonts w:eastAsia="標楷體"/>
          <w:b/>
        </w:rPr>
        <w:t>危害：</w:t>
      </w:r>
      <w:r w:rsidR="00F630DE" w:rsidRPr="00276787">
        <w:rPr>
          <w:rFonts w:eastAsia="標楷體" w:hint="eastAsia"/>
        </w:rPr>
        <w:t>係指一個潛在傷害</w:t>
      </w:r>
      <w:r w:rsidR="00F630DE" w:rsidRPr="00276787">
        <w:rPr>
          <w:rFonts w:eastAsia="標楷體" w:hint="eastAsia"/>
        </w:rPr>
        <w:t>(</w:t>
      </w:r>
      <w:r w:rsidR="00F630DE" w:rsidRPr="00276787">
        <w:rPr>
          <w:rFonts w:eastAsia="標楷體" w:hint="eastAsia"/>
        </w:rPr>
        <w:t>包括人員受傷或疾病</w:t>
      </w:r>
      <w:r w:rsidR="000E6885" w:rsidRPr="00276787">
        <w:rPr>
          <w:rFonts w:eastAsia="標楷體" w:hint="eastAsia"/>
        </w:rPr>
        <w:t>或失能或死亡</w:t>
      </w:r>
      <w:r w:rsidR="00F630DE" w:rsidRPr="00276787">
        <w:rPr>
          <w:rFonts w:eastAsia="標楷體" w:hint="eastAsia"/>
        </w:rPr>
        <w:t>、財產損失、工作場所環境損害、或上列各項之組合</w:t>
      </w:r>
      <w:r w:rsidR="00F630DE" w:rsidRPr="00276787">
        <w:rPr>
          <w:rFonts w:eastAsia="標楷體" w:hint="eastAsia"/>
        </w:rPr>
        <w:t>)</w:t>
      </w:r>
      <w:r w:rsidR="00F630DE" w:rsidRPr="00276787">
        <w:rPr>
          <w:rFonts w:eastAsia="標楷體" w:hint="eastAsia"/>
        </w:rPr>
        <w:t>的來源或狀況。</w:t>
      </w:r>
    </w:p>
    <w:p w:rsidR="00241393" w:rsidRPr="00276787" w:rsidRDefault="00276787" w:rsidP="00276787">
      <w:pPr>
        <w:tabs>
          <w:tab w:val="left" w:pos="851"/>
        </w:tabs>
        <w:spacing w:line="360" w:lineRule="auto"/>
        <w:ind w:firstLineChars="100" w:firstLine="240"/>
        <w:rPr>
          <w:rFonts w:eastAsia="標楷體"/>
        </w:rPr>
      </w:pPr>
      <w:r>
        <w:rPr>
          <w:rFonts w:eastAsia="標楷體" w:hint="eastAsia"/>
          <w:b/>
        </w:rPr>
        <w:t>(</w:t>
      </w:r>
      <w:r>
        <w:rPr>
          <w:rFonts w:eastAsia="標楷體" w:hint="eastAsia"/>
          <w:b/>
        </w:rPr>
        <w:t>二</w:t>
      </w:r>
      <w:r>
        <w:rPr>
          <w:rFonts w:eastAsia="標楷體" w:hint="eastAsia"/>
          <w:b/>
        </w:rPr>
        <w:t>)</w:t>
      </w:r>
      <w:r w:rsidR="00241393" w:rsidRPr="00276787">
        <w:rPr>
          <w:rFonts w:eastAsia="標楷體"/>
          <w:b/>
        </w:rPr>
        <w:t>危害鑑別：</w:t>
      </w:r>
      <w:r w:rsidR="00F630DE" w:rsidRPr="00276787">
        <w:rPr>
          <w:rFonts w:eastAsia="標楷體" w:hint="eastAsia"/>
        </w:rPr>
        <w:t>確認危害之存在，並定義其特性之過程。</w:t>
      </w:r>
    </w:p>
    <w:p w:rsidR="00241393" w:rsidRPr="00276787" w:rsidRDefault="00276787" w:rsidP="00276787">
      <w:pPr>
        <w:tabs>
          <w:tab w:val="left" w:pos="851"/>
        </w:tabs>
        <w:spacing w:line="360" w:lineRule="auto"/>
        <w:ind w:firstLineChars="100" w:firstLine="240"/>
        <w:rPr>
          <w:rFonts w:eastAsia="標楷體"/>
        </w:rPr>
      </w:pPr>
      <w:r>
        <w:rPr>
          <w:rFonts w:eastAsia="標楷體"/>
          <w:b/>
        </w:rPr>
        <w:t>(</w:t>
      </w:r>
      <w:r>
        <w:rPr>
          <w:rFonts w:eastAsia="標楷體"/>
          <w:b/>
        </w:rPr>
        <w:t>三</w:t>
      </w:r>
      <w:r>
        <w:rPr>
          <w:rFonts w:eastAsia="標楷體"/>
          <w:b/>
        </w:rPr>
        <w:t>)</w:t>
      </w:r>
      <w:r w:rsidR="00241393" w:rsidRPr="00276787">
        <w:rPr>
          <w:rFonts w:eastAsia="標楷體"/>
          <w:b/>
        </w:rPr>
        <w:t>風險：</w:t>
      </w:r>
      <w:r w:rsidR="00241393" w:rsidRPr="00276787">
        <w:rPr>
          <w:rFonts w:eastAsia="標楷體"/>
        </w:rPr>
        <w:t>係一個特定危害事件發生之可能性及後果的組合。</w:t>
      </w:r>
    </w:p>
    <w:p w:rsidR="00241393" w:rsidRPr="00276787" w:rsidRDefault="00276787" w:rsidP="00276787">
      <w:pPr>
        <w:tabs>
          <w:tab w:val="left" w:pos="851"/>
        </w:tabs>
        <w:spacing w:line="360" w:lineRule="auto"/>
        <w:ind w:leftChars="100" w:left="720" w:hangingChars="200" w:hanging="480"/>
        <w:rPr>
          <w:rFonts w:eastAsia="標楷體"/>
        </w:rPr>
      </w:pPr>
      <w:r>
        <w:rPr>
          <w:rFonts w:eastAsia="標楷體"/>
          <w:b/>
        </w:rPr>
        <w:t>(</w:t>
      </w:r>
      <w:r>
        <w:rPr>
          <w:rFonts w:eastAsia="標楷體"/>
          <w:b/>
        </w:rPr>
        <w:t>四</w:t>
      </w:r>
      <w:r>
        <w:rPr>
          <w:rFonts w:eastAsia="標楷體"/>
          <w:b/>
        </w:rPr>
        <w:t>)</w:t>
      </w:r>
      <w:r w:rsidR="00241393" w:rsidRPr="00276787">
        <w:rPr>
          <w:rFonts w:eastAsia="標楷體"/>
          <w:b/>
        </w:rPr>
        <w:t>風險評估：</w:t>
      </w:r>
      <w:r w:rsidR="00241393" w:rsidRPr="00276787">
        <w:rPr>
          <w:rFonts w:eastAsia="標楷體"/>
        </w:rPr>
        <w:t>估計風險大小並決定該風險是否為可容忍的全部過程。除考量本</w:t>
      </w:r>
      <w:r w:rsidR="0068295E" w:rsidRPr="00276787">
        <w:rPr>
          <w:rFonts w:eastAsia="標楷體" w:hint="eastAsia"/>
        </w:rPr>
        <w:t>校教職員、與學生</w:t>
      </w:r>
      <w:r w:rsidR="00241393" w:rsidRPr="00276787">
        <w:rPr>
          <w:rFonts w:eastAsia="標楷體"/>
        </w:rPr>
        <w:t>作業所造成的危害與風險外，亦應考量承攬商與訪客作業及使用其他單位所提供的設施及服務所可能造成的風險。</w:t>
      </w:r>
    </w:p>
    <w:p w:rsidR="00241393" w:rsidRPr="00B15F5C" w:rsidRDefault="00B15F5C" w:rsidP="00B15F5C">
      <w:pPr>
        <w:tabs>
          <w:tab w:val="left" w:pos="426"/>
        </w:tabs>
        <w:spacing w:line="360" w:lineRule="auto"/>
        <w:rPr>
          <w:rFonts w:eastAsia="標楷體"/>
          <w:b/>
        </w:rPr>
      </w:pPr>
      <w:r>
        <w:rPr>
          <w:rFonts w:eastAsia="標楷體" w:hint="eastAsia"/>
          <w:b/>
        </w:rPr>
        <w:t>四、</w:t>
      </w:r>
      <w:r w:rsidR="00241393" w:rsidRPr="00B15F5C">
        <w:rPr>
          <w:rFonts w:eastAsia="標楷體"/>
          <w:b/>
        </w:rPr>
        <w:t>權責：</w:t>
      </w:r>
    </w:p>
    <w:p w:rsidR="00241393" w:rsidRPr="00276787" w:rsidRDefault="00276787" w:rsidP="00276787">
      <w:pPr>
        <w:tabs>
          <w:tab w:val="left" w:pos="851"/>
        </w:tabs>
        <w:spacing w:line="360" w:lineRule="auto"/>
        <w:ind w:firstLineChars="100" w:firstLine="240"/>
        <w:rPr>
          <w:rFonts w:eastAsia="標楷體"/>
        </w:rPr>
      </w:pPr>
      <w:r>
        <w:rPr>
          <w:rFonts w:eastAsia="標楷體" w:hint="eastAsia"/>
          <w:b/>
        </w:rPr>
        <w:t>(</w:t>
      </w:r>
      <w:r>
        <w:rPr>
          <w:rFonts w:eastAsia="標楷體" w:hint="eastAsia"/>
          <w:b/>
        </w:rPr>
        <w:t>一</w:t>
      </w:r>
      <w:r>
        <w:rPr>
          <w:rFonts w:eastAsia="標楷體" w:hint="eastAsia"/>
          <w:b/>
        </w:rPr>
        <w:t>)</w:t>
      </w:r>
      <w:r w:rsidR="007B12F2" w:rsidRPr="00276787">
        <w:rPr>
          <w:rFonts w:eastAsia="標楷體" w:hint="eastAsia"/>
          <w:b/>
        </w:rPr>
        <w:t>校長</w:t>
      </w:r>
      <w:r w:rsidR="00241393" w:rsidRPr="00276787">
        <w:rPr>
          <w:rFonts w:eastAsia="標楷體"/>
          <w:b/>
        </w:rPr>
        <w:t>：</w:t>
      </w:r>
      <w:r w:rsidR="00241393" w:rsidRPr="00276787">
        <w:rPr>
          <w:rFonts w:eastAsia="標楷體"/>
        </w:rPr>
        <w:t>督導危害鑑別、風險評估作業之執行</w:t>
      </w:r>
      <w:r w:rsidR="007B12F2" w:rsidRPr="00276787">
        <w:rPr>
          <w:rFonts w:eastAsia="標楷體" w:hint="eastAsia"/>
        </w:rPr>
        <w:t>，並</w:t>
      </w:r>
      <w:r w:rsidR="00241393" w:rsidRPr="00276787">
        <w:rPr>
          <w:rFonts w:eastAsia="標楷體"/>
        </w:rPr>
        <w:t>審查結果之核准。</w:t>
      </w:r>
    </w:p>
    <w:p w:rsidR="007B12F2" w:rsidRPr="00276787" w:rsidRDefault="00276787" w:rsidP="00276787">
      <w:pPr>
        <w:tabs>
          <w:tab w:val="left" w:pos="851"/>
        </w:tabs>
        <w:spacing w:line="360" w:lineRule="auto"/>
        <w:ind w:leftChars="100" w:left="720" w:hangingChars="200" w:hanging="480"/>
        <w:rPr>
          <w:rFonts w:eastAsia="標楷體"/>
        </w:rPr>
      </w:pPr>
      <w:r>
        <w:rPr>
          <w:rFonts w:eastAsia="標楷體"/>
          <w:b/>
        </w:rPr>
        <w:t>(</w:t>
      </w:r>
      <w:r>
        <w:rPr>
          <w:rFonts w:eastAsia="標楷體"/>
          <w:b/>
        </w:rPr>
        <w:t>二</w:t>
      </w:r>
      <w:r>
        <w:rPr>
          <w:rFonts w:eastAsia="標楷體"/>
          <w:b/>
        </w:rPr>
        <w:t>)</w:t>
      </w:r>
      <w:r w:rsidR="00241393" w:rsidRPr="00276787">
        <w:rPr>
          <w:rFonts w:eastAsia="標楷體"/>
          <w:b/>
        </w:rPr>
        <w:t>風險評估人員：</w:t>
      </w:r>
      <w:r w:rsidR="007B12F2" w:rsidRPr="00276787">
        <w:rPr>
          <w:rFonts w:eastAsia="標楷體" w:hint="eastAsia"/>
        </w:rPr>
        <w:t>應給予</w:t>
      </w:r>
      <w:r w:rsidR="00D93B06" w:rsidRPr="00276787">
        <w:rPr>
          <w:rFonts w:eastAsia="標楷體" w:hint="eastAsia"/>
        </w:rPr>
        <w:t>其</w:t>
      </w:r>
      <w:r w:rsidR="007B12F2" w:rsidRPr="00276787">
        <w:rPr>
          <w:rFonts w:eastAsia="標楷體" w:hint="eastAsia"/>
        </w:rPr>
        <w:t>必要的教育訓練，提升其安全衛生知識及評估技能，必要時應尋求外界專業機構的協助。應由各單位所屬之人員針對所轄場所</w:t>
      </w:r>
      <w:r w:rsidR="007B12F2" w:rsidRPr="00276787">
        <w:rPr>
          <w:rFonts w:eastAsia="標楷體"/>
        </w:rPr>
        <w:t>執行安全衛生危害鑑別及風險評估作業</w:t>
      </w:r>
    </w:p>
    <w:p w:rsidR="00241393" w:rsidRPr="00276787" w:rsidRDefault="00276787" w:rsidP="00276787">
      <w:pPr>
        <w:tabs>
          <w:tab w:val="left" w:pos="851"/>
        </w:tabs>
        <w:spacing w:line="360" w:lineRule="auto"/>
        <w:ind w:firstLineChars="100" w:firstLine="240"/>
        <w:rPr>
          <w:rFonts w:eastAsia="標楷體"/>
        </w:rPr>
      </w:pPr>
      <w:r>
        <w:rPr>
          <w:rFonts w:eastAsia="標楷體" w:hint="eastAsia"/>
          <w:b/>
        </w:rPr>
        <w:t>(</w:t>
      </w:r>
      <w:r>
        <w:rPr>
          <w:rFonts w:eastAsia="標楷體" w:hint="eastAsia"/>
          <w:b/>
        </w:rPr>
        <w:t>三</w:t>
      </w:r>
      <w:r>
        <w:rPr>
          <w:rFonts w:eastAsia="標楷體" w:hint="eastAsia"/>
          <w:b/>
        </w:rPr>
        <w:t>)</w:t>
      </w:r>
      <w:r w:rsidR="003167BD" w:rsidRPr="00276787">
        <w:rPr>
          <w:rFonts w:eastAsia="標楷體"/>
          <w:b/>
        </w:rPr>
        <w:t>各</w:t>
      </w:r>
      <w:r w:rsidR="00241393" w:rsidRPr="00276787">
        <w:rPr>
          <w:rFonts w:eastAsia="標楷體"/>
          <w:b/>
        </w:rPr>
        <w:t>單位主管：</w:t>
      </w:r>
      <w:r w:rsidR="00241393" w:rsidRPr="00276787">
        <w:rPr>
          <w:rFonts w:eastAsia="標楷體"/>
        </w:rPr>
        <w:t>負責協助安全衛生危害鑑別及風險評估作業之執行。</w:t>
      </w:r>
    </w:p>
    <w:p w:rsidR="00241393" w:rsidRPr="00276787" w:rsidRDefault="00276787" w:rsidP="00276787">
      <w:pPr>
        <w:tabs>
          <w:tab w:val="left" w:pos="851"/>
        </w:tabs>
        <w:spacing w:line="360" w:lineRule="auto"/>
        <w:ind w:leftChars="100" w:left="720" w:hangingChars="200" w:hanging="480"/>
        <w:rPr>
          <w:rFonts w:eastAsia="標楷體"/>
        </w:rPr>
      </w:pPr>
      <w:r>
        <w:rPr>
          <w:rFonts w:eastAsia="標楷體" w:hint="eastAsia"/>
          <w:b/>
        </w:rPr>
        <w:t>(</w:t>
      </w:r>
      <w:r>
        <w:rPr>
          <w:rFonts w:eastAsia="標楷體" w:hint="eastAsia"/>
          <w:b/>
        </w:rPr>
        <w:t>四</w:t>
      </w:r>
      <w:r>
        <w:rPr>
          <w:rFonts w:eastAsia="標楷體" w:hint="eastAsia"/>
          <w:b/>
        </w:rPr>
        <w:t>)</w:t>
      </w:r>
      <w:r w:rsidR="007B12F2" w:rsidRPr="00276787">
        <w:rPr>
          <w:rFonts w:eastAsia="標楷體" w:hint="eastAsia"/>
          <w:b/>
        </w:rPr>
        <w:t>職業安全衛生</w:t>
      </w:r>
      <w:r w:rsidR="00F02978" w:rsidRPr="00276787">
        <w:rPr>
          <w:rFonts w:eastAsia="標楷體" w:hint="eastAsia"/>
          <w:b/>
        </w:rPr>
        <w:t>管理</w:t>
      </w:r>
      <w:r w:rsidR="00241393" w:rsidRPr="00276787">
        <w:rPr>
          <w:rFonts w:eastAsia="標楷體"/>
          <w:b/>
        </w:rPr>
        <w:t>人員：</w:t>
      </w:r>
      <w:r w:rsidR="00CF2C8D" w:rsidRPr="00276787">
        <w:rPr>
          <w:rFonts w:eastAsia="標楷體" w:hint="eastAsia"/>
        </w:rPr>
        <w:t>提供本校各單位風險評估人員足以適任風險鑑別與評估工作之教育訓練。並</w:t>
      </w:r>
      <w:r w:rsidR="00241393" w:rsidRPr="00276787">
        <w:rPr>
          <w:rFonts w:eastAsia="標楷體"/>
        </w:rPr>
        <w:t>彙整</w:t>
      </w:r>
      <w:r w:rsidR="007B12F2" w:rsidRPr="00276787">
        <w:rPr>
          <w:rFonts w:eastAsia="標楷體" w:hint="eastAsia"/>
        </w:rPr>
        <w:t>全校</w:t>
      </w:r>
      <w:r w:rsidR="00241393" w:rsidRPr="00276787">
        <w:rPr>
          <w:rFonts w:eastAsia="標楷體"/>
        </w:rPr>
        <w:t>風險鑑別表單，並就不可接受風險召開審查會議風</w:t>
      </w:r>
      <w:r w:rsidR="00241393" w:rsidRPr="00276787">
        <w:rPr>
          <w:rFonts w:eastAsia="標楷體"/>
        </w:rPr>
        <w:lastRenderedPageBreak/>
        <w:t>險鑑別程序存檔備查。</w:t>
      </w:r>
    </w:p>
    <w:p w:rsidR="00241393" w:rsidRPr="00276787" w:rsidRDefault="00276787" w:rsidP="00276787">
      <w:pPr>
        <w:tabs>
          <w:tab w:val="left" w:pos="426"/>
        </w:tabs>
        <w:spacing w:line="360" w:lineRule="auto"/>
        <w:rPr>
          <w:rFonts w:eastAsia="標楷體"/>
          <w:b/>
        </w:rPr>
      </w:pPr>
      <w:r>
        <w:rPr>
          <w:rFonts w:eastAsia="標楷體"/>
          <w:b/>
        </w:rPr>
        <w:t>五、</w:t>
      </w:r>
      <w:r w:rsidR="00241393" w:rsidRPr="00276787">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740E7F">
        <w:rPr>
          <w:rFonts w:eastAsia="標楷體"/>
        </w:rPr>
        <w:t>職業安全衛生管理</w:t>
      </w:r>
      <w:r w:rsidR="00740E7F">
        <w:rPr>
          <w:rFonts w:eastAsia="標楷體" w:hint="eastAsia"/>
        </w:rPr>
        <w:t>人員</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，每ㄧ年應重新評估更新一次。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確認每項作業對於人員傷害、不健康之潛在危害，然後以主觀的方式評估每</w:t>
      </w:r>
      <w:r w:rsidRPr="009B2B95">
        <w:rPr>
          <w:rFonts w:eastAsia="標楷體"/>
        </w:rPr>
        <w:lastRenderedPageBreak/>
        <w:t>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，並填寫表一「風險評估表」；危害鑑別與評估準則如附表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FF5754" w:rsidRDefault="00024A32" w:rsidP="00FF5754">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lastRenderedPageBreak/>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bookmarkStart w:id="0" w:name="_GoBack"/>
      <w:bookmarkEnd w:id="0"/>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參考勞動部職業安全衛生署官網發布之指引訂定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7318B9" w:rsidRDefault="007318B9" w:rsidP="007318B9">
      <w:pPr>
        <w:tabs>
          <w:tab w:val="left" w:pos="426"/>
        </w:tabs>
        <w:spacing w:line="360" w:lineRule="auto"/>
        <w:rPr>
          <w:rFonts w:eastAsia="標楷體"/>
          <w:b/>
        </w:rPr>
      </w:pPr>
      <w:r w:rsidRPr="007318B9">
        <w:rPr>
          <w:rFonts w:eastAsia="標楷體" w:hint="eastAsia"/>
          <w:b/>
        </w:rPr>
        <w:t>六、</w:t>
      </w:r>
      <w:r w:rsidR="00241393" w:rsidRPr="007318B9">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表一「</w:t>
      </w:r>
      <w:r w:rsidRPr="009B2B95">
        <w:rPr>
          <w:rFonts w:eastAsia="標楷體"/>
        </w:rPr>
        <w:t>風險評估表</w:t>
      </w:r>
      <w:r w:rsidRPr="009B2B95">
        <w:rPr>
          <w:rFonts w:eastAsia="標楷體"/>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Default="00241393" w:rsidP="0068295E">
      <w:pPr>
        <w:tabs>
          <w:tab w:val="left" w:pos="900"/>
        </w:tabs>
        <w:spacing w:line="360" w:lineRule="auto"/>
        <w:ind w:leftChars="295" w:left="708"/>
        <w:rPr>
          <w:rFonts w:eastAsia="標楷體"/>
          <w:bCs/>
        </w:r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2275E" w:rsidRPr="009B2B95" w:rsidRDefault="0022275E" w:rsidP="007318B9">
      <w:pPr>
        <w:tabs>
          <w:tab w:val="left" w:pos="900"/>
        </w:tabs>
        <w:spacing w:line="360" w:lineRule="auto"/>
        <w:ind w:left="480" w:hangingChars="200" w:hanging="480"/>
        <w:rPr>
          <w:rFonts w:eastAsia="標楷體"/>
          <w:bCs/>
        </w:rPr>
        <w:sectPr w:rsidR="0022275E" w:rsidRPr="009B2B95" w:rsidSect="00575315">
          <w:headerReference w:type="default" r:id="rId9"/>
          <w:footerReference w:type="default" r:id="rId10"/>
          <w:pgSz w:w="11906" w:h="16838"/>
          <w:pgMar w:top="1418" w:right="1418" w:bottom="1418" w:left="1418" w:header="851" w:footer="760" w:gutter="0"/>
          <w:cols w:space="425"/>
          <w:docGrid w:type="lines" w:linePitch="360"/>
        </w:sectPr>
      </w:pP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表一</w:t>
      </w:r>
      <w:r w:rsidRPr="009B2B95">
        <w:rPr>
          <w:rFonts w:eastAsia="標楷體"/>
          <w:b/>
          <w:bCs/>
        </w:rPr>
        <w:t xml:space="preserve"> </w:t>
      </w:r>
      <w:r w:rsidRPr="009B2B95">
        <w:rPr>
          <w:rFonts w:eastAsia="標楷體"/>
          <w:b/>
          <w:bCs/>
        </w:rPr>
        <w:t>風險評估表</w:t>
      </w:r>
    </w:p>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tblPr>
      <w:tblGrid>
        <w:gridCol w:w="2004"/>
        <w:gridCol w:w="2004"/>
        <w:gridCol w:w="2002"/>
        <w:gridCol w:w="1815"/>
        <w:gridCol w:w="1985"/>
        <w:gridCol w:w="4109"/>
      </w:tblGrid>
      <w:tr w:rsidR="000A56A9" w:rsidRPr="009B2B95" w:rsidTr="00407D67">
        <w:trPr>
          <w:trHeight w:val="48"/>
        </w:trPr>
        <w:tc>
          <w:tcPr>
            <w:tcW w:w="720" w:type="pct"/>
            <w:vMerge w:val="restart"/>
            <w:shd w:val="clear" w:color="000000" w:fill="FFFFFF"/>
            <w:vAlign w:val="center"/>
          </w:tcPr>
          <w:p w:rsidR="000A56A9" w:rsidRPr="00253131" w:rsidRDefault="000A56A9" w:rsidP="000A56A9">
            <w:pPr>
              <w:jc w:val="center"/>
              <w:rPr>
                <w:rFonts w:eastAsia="標楷體"/>
                <w:b/>
                <w:kern w:val="0"/>
                <w:sz w:val="20"/>
                <w:szCs w:val="20"/>
              </w:rPr>
            </w:pPr>
            <w:r w:rsidRPr="00253131">
              <w:rPr>
                <w:rFonts w:eastAsia="標楷體" w:hint="eastAsia"/>
                <w:b/>
                <w:kern w:val="0"/>
                <w:sz w:val="20"/>
                <w:szCs w:val="20"/>
              </w:rPr>
              <w:t>實驗場所</w:t>
            </w:r>
          </w:p>
        </w:tc>
        <w:tc>
          <w:tcPr>
            <w:tcW w:w="720" w:type="pct"/>
            <w:vMerge w:val="restart"/>
            <w:shd w:val="clear" w:color="000000" w:fill="FFFFFF"/>
            <w:vAlign w:val="center"/>
          </w:tcPr>
          <w:p w:rsidR="000A56A9" w:rsidRPr="00253131" w:rsidRDefault="000A56A9" w:rsidP="000A56A9">
            <w:pPr>
              <w:jc w:val="center"/>
              <w:rPr>
                <w:rFonts w:eastAsia="標楷體"/>
                <w:b/>
                <w:kern w:val="0"/>
                <w:sz w:val="20"/>
                <w:szCs w:val="20"/>
              </w:rPr>
            </w:pPr>
            <w:r w:rsidRPr="00253131">
              <w:rPr>
                <w:rFonts w:eastAsia="標楷體"/>
                <w:b/>
                <w:kern w:val="0"/>
                <w:sz w:val="20"/>
                <w:szCs w:val="20"/>
              </w:rPr>
              <w:t>評估日期</w:t>
            </w:r>
          </w:p>
        </w:tc>
        <w:tc>
          <w:tcPr>
            <w:tcW w:w="719" w:type="pct"/>
            <w:vMerge w:val="restart"/>
            <w:shd w:val="clear" w:color="000000" w:fill="FFFFFF"/>
            <w:vAlign w:val="center"/>
          </w:tcPr>
          <w:p w:rsidR="000A56A9" w:rsidRPr="00253131" w:rsidRDefault="000A56A9" w:rsidP="000A56A9">
            <w:pPr>
              <w:jc w:val="center"/>
              <w:rPr>
                <w:rFonts w:eastAsia="標楷體"/>
                <w:b/>
                <w:kern w:val="0"/>
                <w:sz w:val="20"/>
                <w:szCs w:val="20"/>
              </w:rPr>
            </w:pPr>
            <w:r w:rsidRPr="00253131">
              <w:rPr>
                <w:rFonts w:eastAsia="標楷體"/>
                <w:b/>
                <w:kern w:val="0"/>
                <w:sz w:val="20"/>
                <w:szCs w:val="20"/>
              </w:rPr>
              <w:t>評估人員</w:t>
            </w:r>
          </w:p>
        </w:tc>
        <w:tc>
          <w:tcPr>
            <w:tcW w:w="2841" w:type="pct"/>
            <w:gridSpan w:val="3"/>
            <w:shd w:val="clear" w:color="auto" w:fill="auto"/>
            <w:noWrap/>
            <w:vAlign w:val="center"/>
          </w:tcPr>
          <w:p w:rsidR="000A56A9" w:rsidRPr="00253131" w:rsidRDefault="000A56A9" w:rsidP="000A56A9">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0A56A9" w:rsidRPr="009B2B95" w:rsidTr="00407D67">
        <w:trPr>
          <w:trHeight w:val="48"/>
        </w:trPr>
        <w:tc>
          <w:tcPr>
            <w:tcW w:w="720" w:type="pct"/>
            <w:vMerge/>
            <w:shd w:val="clear" w:color="000000" w:fill="FFFFFF"/>
            <w:vAlign w:val="center"/>
          </w:tcPr>
          <w:p w:rsidR="000A56A9" w:rsidRPr="00253131" w:rsidRDefault="000A56A9" w:rsidP="000A56A9">
            <w:pPr>
              <w:widowControl/>
              <w:jc w:val="center"/>
              <w:rPr>
                <w:rFonts w:eastAsia="標楷體"/>
                <w:b/>
                <w:kern w:val="0"/>
                <w:sz w:val="20"/>
                <w:szCs w:val="20"/>
              </w:rPr>
            </w:pPr>
          </w:p>
        </w:tc>
        <w:tc>
          <w:tcPr>
            <w:tcW w:w="720" w:type="pct"/>
            <w:vMerge/>
            <w:shd w:val="clear" w:color="000000" w:fill="FFFFFF"/>
            <w:vAlign w:val="center"/>
          </w:tcPr>
          <w:p w:rsidR="000A56A9" w:rsidRPr="00253131" w:rsidRDefault="000A56A9" w:rsidP="000A56A9">
            <w:pPr>
              <w:widowControl/>
              <w:jc w:val="center"/>
              <w:rPr>
                <w:rFonts w:eastAsia="標楷體"/>
                <w:b/>
                <w:kern w:val="0"/>
                <w:sz w:val="20"/>
                <w:szCs w:val="20"/>
              </w:rPr>
            </w:pPr>
          </w:p>
        </w:tc>
        <w:tc>
          <w:tcPr>
            <w:tcW w:w="719" w:type="pct"/>
            <w:vMerge/>
            <w:shd w:val="clear" w:color="000000" w:fill="FFFFFF"/>
            <w:vAlign w:val="center"/>
          </w:tcPr>
          <w:p w:rsidR="000A56A9" w:rsidRPr="00253131" w:rsidRDefault="000A56A9" w:rsidP="000A56A9">
            <w:pPr>
              <w:widowControl/>
              <w:jc w:val="center"/>
              <w:rPr>
                <w:rFonts w:eastAsia="標楷體"/>
                <w:b/>
                <w:kern w:val="0"/>
                <w:sz w:val="20"/>
                <w:szCs w:val="20"/>
              </w:rPr>
            </w:pPr>
          </w:p>
        </w:tc>
        <w:tc>
          <w:tcPr>
            <w:tcW w:w="652" w:type="pct"/>
            <w:shd w:val="clear" w:color="auto" w:fill="auto"/>
            <w:noWrap/>
            <w:vAlign w:val="center"/>
          </w:tcPr>
          <w:p w:rsidR="000A56A9" w:rsidRPr="00253131" w:rsidRDefault="000A56A9" w:rsidP="000A56A9">
            <w:pPr>
              <w:widowControl/>
              <w:jc w:val="center"/>
              <w:rPr>
                <w:rFonts w:eastAsia="標楷體"/>
                <w:b/>
                <w:kern w:val="0"/>
                <w:sz w:val="20"/>
                <w:szCs w:val="20"/>
              </w:rPr>
            </w:pPr>
            <w:r w:rsidRPr="00253131">
              <w:rPr>
                <w:rFonts w:eastAsia="標楷體" w:hint="eastAsia"/>
                <w:b/>
                <w:kern w:val="0"/>
                <w:sz w:val="20"/>
                <w:szCs w:val="20"/>
              </w:rPr>
              <w:t>實驗場所教師</w:t>
            </w:r>
          </w:p>
        </w:tc>
        <w:tc>
          <w:tcPr>
            <w:tcW w:w="713" w:type="pct"/>
            <w:shd w:val="clear" w:color="auto" w:fill="auto"/>
            <w:noWrap/>
            <w:vAlign w:val="center"/>
          </w:tcPr>
          <w:p w:rsidR="000A56A9" w:rsidRPr="00253131" w:rsidRDefault="000A56A9" w:rsidP="000A56A9">
            <w:pPr>
              <w:widowControl/>
              <w:jc w:val="center"/>
              <w:rPr>
                <w:rFonts w:eastAsia="標楷體"/>
                <w:b/>
                <w:kern w:val="0"/>
                <w:sz w:val="20"/>
                <w:szCs w:val="20"/>
              </w:rPr>
            </w:pPr>
            <w:r w:rsidRPr="00253131">
              <w:rPr>
                <w:rFonts w:eastAsia="標楷體" w:hint="eastAsia"/>
                <w:b/>
                <w:kern w:val="0"/>
                <w:sz w:val="20"/>
                <w:szCs w:val="20"/>
              </w:rPr>
              <w:t>主管</w:t>
            </w:r>
          </w:p>
        </w:tc>
        <w:tc>
          <w:tcPr>
            <w:tcW w:w="1476" w:type="pct"/>
            <w:shd w:val="clear" w:color="auto" w:fill="auto"/>
            <w:noWrap/>
            <w:vAlign w:val="center"/>
          </w:tcPr>
          <w:p w:rsidR="000A56A9" w:rsidRPr="009B2B95" w:rsidRDefault="000A56A9" w:rsidP="000A56A9">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0A56A9" w:rsidRPr="009B2B95" w:rsidTr="00407D67">
        <w:trPr>
          <w:trHeight w:val="540"/>
        </w:trPr>
        <w:tc>
          <w:tcPr>
            <w:tcW w:w="720" w:type="pct"/>
            <w:shd w:val="clear" w:color="000000" w:fill="FFFFFF"/>
            <w:vAlign w:val="center"/>
          </w:tcPr>
          <w:p w:rsidR="000A56A9" w:rsidRPr="009B2B95" w:rsidRDefault="000A56A9" w:rsidP="000A56A9">
            <w:pPr>
              <w:widowControl/>
              <w:jc w:val="center"/>
              <w:rPr>
                <w:rFonts w:eastAsia="標楷體"/>
                <w:kern w:val="0"/>
                <w:sz w:val="20"/>
                <w:szCs w:val="20"/>
              </w:rPr>
            </w:pPr>
          </w:p>
        </w:tc>
        <w:tc>
          <w:tcPr>
            <w:tcW w:w="720" w:type="pct"/>
            <w:shd w:val="clear" w:color="000000" w:fill="FFFFFF"/>
            <w:vAlign w:val="center"/>
          </w:tcPr>
          <w:p w:rsidR="000A56A9" w:rsidRPr="009B2B95" w:rsidRDefault="000A56A9" w:rsidP="000A56A9">
            <w:pPr>
              <w:widowControl/>
              <w:jc w:val="center"/>
              <w:rPr>
                <w:rFonts w:eastAsia="標楷體"/>
                <w:kern w:val="0"/>
                <w:sz w:val="20"/>
                <w:szCs w:val="20"/>
              </w:rPr>
            </w:pPr>
          </w:p>
        </w:tc>
        <w:tc>
          <w:tcPr>
            <w:tcW w:w="719" w:type="pct"/>
            <w:shd w:val="clear" w:color="000000" w:fill="FFFFFF"/>
            <w:vAlign w:val="center"/>
          </w:tcPr>
          <w:p w:rsidR="000A56A9" w:rsidRPr="009B2B95" w:rsidRDefault="000A56A9" w:rsidP="000A56A9">
            <w:pPr>
              <w:widowControl/>
              <w:jc w:val="center"/>
              <w:rPr>
                <w:rFonts w:eastAsia="標楷體"/>
                <w:kern w:val="0"/>
                <w:sz w:val="20"/>
                <w:szCs w:val="20"/>
              </w:rPr>
            </w:pPr>
          </w:p>
        </w:tc>
        <w:tc>
          <w:tcPr>
            <w:tcW w:w="652" w:type="pct"/>
            <w:shd w:val="clear" w:color="auto" w:fill="auto"/>
            <w:noWrap/>
            <w:vAlign w:val="center"/>
          </w:tcPr>
          <w:p w:rsidR="000A56A9" w:rsidRPr="009B2B95" w:rsidRDefault="000A56A9" w:rsidP="000A56A9">
            <w:pPr>
              <w:widowControl/>
              <w:jc w:val="center"/>
              <w:rPr>
                <w:rFonts w:eastAsia="標楷體"/>
                <w:kern w:val="0"/>
                <w:sz w:val="20"/>
                <w:szCs w:val="20"/>
              </w:rPr>
            </w:pPr>
          </w:p>
        </w:tc>
        <w:tc>
          <w:tcPr>
            <w:tcW w:w="713" w:type="pct"/>
            <w:shd w:val="clear" w:color="auto" w:fill="auto"/>
            <w:noWrap/>
            <w:vAlign w:val="center"/>
          </w:tcPr>
          <w:p w:rsidR="000A56A9" w:rsidRPr="009B2B95" w:rsidRDefault="000A56A9" w:rsidP="000A56A9">
            <w:pPr>
              <w:widowControl/>
              <w:jc w:val="center"/>
              <w:rPr>
                <w:rFonts w:eastAsia="標楷體"/>
                <w:kern w:val="0"/>
                <w:sz w:val="20"/>
                <w:szCs w:val="20"/>
              </w:rPr>
            </w:pPr>
          </w:p>
        </w:tc>
        <w:tc>
          <w:tcPr>
            <w:tcW w:w="1476" w:type="pct"/>
            <w:shd w:val="clear" w:color="auto" w:fill="auto"/>
            <w:noWrap/>
            <w:vAlign w:val="center"/>
          </w:tcPr>
          <w:p w:rsidR="000A56A9" w:rsidRPr="009B2B95" w:rsidRDefault="000A56A9" w:rsidP="000A56A9">
            <w:pPr>
              <w:widowControl/>
              <w:jc w:val="center"/>
              <w:rPr>
                <w:rFonts w:eastAsia="標楷體"/>
                <w:kern w:val="0"/>
                <w:sz w:val="20"/>
                <w:szCs w:val="20"/>
              </w:rPr>
            </w:pPr>
          </w:p>
        </w:tc>
      </w:tr>
    </w:tbl>
    <w:p w:rsidR="00AA0D86" w:rsidRDefault="00AA0D86" w:rsidP="00F57DB6">
      <w:pPr>
        <w:ind w:leftChars="-179" w:left="-4" w:hangingChars="213" w:hanging="426"/>
        <w:jc w:val="center"/>
        <w:rPr>
          <w:rFonts w:eastAsia="標楷體"/>
          <w:sz w:val="20"/>
          <w:szCs w:val="20"/>
        </w:rPr>
      </w:pPr>
      <w:r w:rsidRPr="009B2B95">
        <w:rPr>
          <w:rFonts w:eastAsia="標楷體"/>
          <w:sz w:val="20"/>
          <w:szCs w:val="20"/>
        </w:rPr>
        <w:object w:dxaOrig="14838"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5pt;height:324pt" o:ole="" o:bordertopcolor="black" o:borderleftcolor="black" o:borderbottomcolor="black" o:borderrightcolor="black">
            <v:imagedata r:id="rId11" o:title=""/>
          </v:shape>
          <o:OLEObject Type="Embed" ProgID="Excel.Sheet.12" ShapeID="_x0000_i1025" DrawAspect="Content" ObjectID="_1696681227" r:id="rId12"/>
        </w:object>
      </w:r>
    </w:p>
    <w:p w:rsidR="00F5193B" w:rsidRPr="00F57DB6" w:rsidRDefault="00F5193B" w:rsidP="00AA0D86">
      <w:pPr>
        <w:ind w:leftChars="-179" w:left="82" w:hangingChars="213" w:hanging="512"/>
        <w:jc w:val="center"/>
        <w:rPr>
          <w:rFonts w:eastAsia="標楷體"/>
          <w:sz w:val="20"/>
          <w:szCs w:val="20"/>
        </w:rPr>
      </w:pPr>
      <w:r w:rsidRPr="009B2B95">
        <w:rPr>
          <w:rFonts w:eastAsia="標楷體" w:hint="eastAsia"/>
          <w:b/>
          <w:bCs/>
        </w:rPr>
        <w:lastRenderedPageBreak/>
        <w:t>表</w:t>
      </w:r>
      <w:r w:rsidR="00612978">
        <w:rPr>
          <w:rFonts w:eastAsia="標楷體" w:hint="eastAsia"/>
          <w:b/>
          <w:bCs/>
        </w:rPr>
        <w:t>一</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1959F7">
            <w:pPr>
              <w:widowControl/>
              <w:spacing w:beforeLines="15" w:afterLines="15"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1959F7">
            <w:pPr>
              <w:widowControl/>
              <w:spacing w:beforeLines="15" w:afterLines="15"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1959F7">
            <w:pPr>
              <w:widowControl/>
              <w:spacing w:beforeLines="15" w:afterLines="15"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1959F7">
            <w:pPr>
              <w:widowControl/>
              <w:spacing w:beforeLines="15" w:afterLines="15"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1959F7">
            <w:pPr>
              <w:spacing w:beforeLines="15" w:afterLines="15"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1959F7">
            <w:pPr>
              <w:widowControl/>
              <w:spacing w:beforeLines="15" w:afterLines="15" w:line="360" w:lineRule="auto"/>
              <w:jc w:val="both"/>
              <w:rPr>
                <w:rFonts w:eastAsia="標楷體"/>
                <w:kern w:val="0"/>
              </w:rPr>
            </w:pPr>
            <w:r w:rsidRPr="009B2B95">
              <w:rPr>
                <w:rFonts w:eastAsia="標楷體" w:hint="eastAsia"/>
                <w:kern w:val="0"/>
              </w:rPr>
              <w:t>係指該作業之執行頻率或週期，例如連續式作業、每日一次、每週一次、每月五次、一年一次等。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1959F7">
            <w:pPr>
              <w:spacing w:beforeLines="15" w:afterLines="15"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1959F7">
            <w:pPr>
              <w:widowControl/>
              <w:spacing w:beforeLines="15" w:afterLines="15"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1959F7">
            <w:pPr>
              <w:widowControl/>
              <w:spacing w:beforeLines="15" w:afterLines="15"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1959F7">
            <w:pPr>
              <w:widowControl/>
              <w:spacing w:beforeLines="15" w:afterLines="15" w:line="360" w:lineRule="auto"/>
              <w:jc w:val="both"/>
              <w:rPr>
                <w:rFonts w:eastAsia="標楷體"/>
                <w:kern w:val="0"/>
              </w:rPr>
            </w:pPr>
            <w:r w:rsidRPr="009B2B95">
              <w:rPr>
                <w:rFonts w:eastAsia="標楷體" w:hint="eastAsia"/>
                <w:kern w:val="0"/>
              </w:rPr>
              <w:t>如辦公用文具、電腦、電動手工具、手工具、起重機、堆高機、衝床、化學設備、高壓設備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1959F7">
            <w:pPr>
              <w:widowControl/>
              <w:spacing w:beforeLines="15" w:afterLines="15"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商品名（如：乙醚、乙醇、丙酮、甲苯、顯影液等）。若所使用之化學物質種類甚多，可依其危害特性予以分類，例如參考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1959F7">
            <w:pPr>
              <w:widowControl/>
              <w:spacing w:beforeLines="15" w:afterLines="15"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1959F7">
            <w:pPr>
              <w:widowControl/>
              <w:spacing w:beforeLines="15" w:afterLines="15"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1959F7">
            <w:pPr>
              <w:widowControl/>
              <w:spacing w:beforeLines="15" w:afterLines="15"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1959F7">
            <w:pPr>
              <w:widowControl/>
              <w:spacing w:beforeLines="15" w:afterLines="15"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：指人體在近於同一平面上跌倒而言，即因絆跤或滑溜而跌倒之情況。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：指堆積物（包含積垛）、施工架、建築物等塌崩、倒塌而碰撞人體之情況。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：指飛來、落下、崩塌、倒塌外，以物體為主碰撞人體之情況。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被夾、被捲</w:t>
            </w:r>
            <w:r w:rsidRPr="009B2B95">
              <w:rPr>
                <w:rFonts w:eastAsia="標楷體"/>
                <w:kern w:val="0"/>
              </w:rPr>
              <w:t>：指被物體夾入或捲入而被擠壓、撚挫之情況。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：指被擦傷之情況，及以被擦的狀況而被刺、割等之情況。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r w:rsidRPr="009B2B95">
              <w:rPr>
                <w:rFonts w:eastAsia="標楷體"/>
                <w:b/>
                <w:bCs/>
                <w:kern w:val="0"/>
              </w:rPr>
              <w:t>踏穿</w:t>
            </w:r>
            <w:r w:rsidRPr="009B2B95">
              <w:rPr>
                <w:rFonts w:eastAsia="標楷體"/>
                <w:kern w:val="0"/>
              </w:rPr>
              <w:t>：指踏穿鐵釘、金屬片之情況而言，包含踏穿地板、石棉瓦等情況。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lastRenderedPageBreak/>
              <w:t>溺斃</w:t>
            </w:r>
            <w:r w:rsidRPr="009B2B95">
              <w:rPr>
                <w:rFonts w:eastAsia="標楷體"/>
                <w:kern w:val="0"/>
              </w:rPr>
              <w:t>：包含墜落水中而溺斃之情況。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：包含起因於暴露於輻射線、有害光線之障害、一氧化碳中毒、缺氧症及暴露於高壓、低壓等有害環境下之情況。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感電</w:t>
            </w:r>
            <w:r w:rsidRPr="009B2B95">
              <w:rPr>
                <w:rFonts w:eastAsia="標楷體"/>
                <w:kern w:val="0"/>
              </w:rPr>
              <w:t>：指接觸帶電體或因通電而人體受衝擊之情況。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：指壓力之急激發生或開放之結果，帶有爆音而引起膨脹之情況。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：指起因於身體動作不自然姿勢或動作反彈等，引起扭筋、扭腰、橪挫及形成類似狀態，如不當抬舉導致肌肉骨骼傷害，或工作台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：指容器或設備之危害性物質外洩，但未造成人員傷害之事件。</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lastRenderedPageBreak/>
              <w:t>職業病</w:t>
            </w:r>
            <w:r w:rsidRPr="009B2B95">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9B2B95" w:rsidRDefault="00FE48C1" w:rsidP="001959F7">
            <w:pPr>
              <w:pStyle w:val="a3"/>
              <w:widowControl/>
              <w:numPr>
                <w:ilvl w:val="0"/>
                <w:numId w:val="15"/>
              </w:numPr>
              <w:spacing w:beforeLines="15" w:afterLines="15"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1959F7">
            <w:pPr>
              <w:pStyle w:val="a3"/>
              <w:numPr>
                <w:ilvl w:val="0"/>
                <w:numId w:val="15"/>
              </w:numPr>
              <w:spacing w:beforeLines="15" w:afterLines="15"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1959F7">
            <w:pPr>
              <w:spacing w:beforeLines="15" w:afterLines="15"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1959F7">
            <w:pPr>
              <w:spacing w:beforeLines="15" w:afterLines="15"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1959F7">
            <w:pPr>
              <w:widowControl/>
              <w:spacing w:beforeLines="15" w:afterLines="15"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1959F7">
            <w:pPr>
              <w:pStyle w:val="a3"/>
              <w:widowControl/>
              <w:numPr>
                <w:ilvl w:val="0"/>
                <w:numId w:val="16"/>
              </w:numPr>
              <w:spacing w:beforeLines="15" w:afterLines="15"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護圍、安全網、安全母索、安全上下設備、高空作業車、移動式施工架等。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lastRenderedPageBreak/>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護網、防滑舌片、過捲揚預防裝置等。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被夾、被捲：</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雙套管、洩漏偵測器、防液堤、承液盤、沖淋設施、通風排氣裝置等。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感電：</w:t>
            </w:r>
            <w:r w:rsidRPr="009B2B95">
              <w:rPr>
                <w:rFonts w:eastAsia="標楷體"/>
                <w:kern w:val="0"/>
              </w:rPr>
              <w:t>防止電擊裝置、漏電斷路器、接地設施等。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防爆電氣設備、火災偵測器、消防設施、高溫自動灑水系統、防爆牆、靜電消除設備（如靜電夾、靜電刷、靜電銅絲、靜電布、增加作業環境濕度等）、冷凍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高壓連鎖停機系統、釋壓裝置（含安全閥、破裂盤、壓力調節裝置等）、破真空裝置等。</w:t>
            </w:r>
          </w:p>
          <w:p w:rsidR="009F56A0" w:rsidRPr="009B2B95" w:rsidRDefault="009F56A0" w:rsidP="001959F7">
            <w:pPr>
              <w:pStyle w:val="a3"/>
              <w:widowControl/>
              <w:numPr>
                <w:ilvl w:val="1"/>
                <w:numId w:val="17"/>
              </w:numPr>
              <w:spacing w:beforeLines="15" w:afterLines="15"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雙套管、洩漏偵測器、防液堤、承液盤、緊急遮斷閥、灑水系統、沖淋設施、通風排氣裝置等。</w:t>
            </w:r>
          </w:p>
          <w:p w:rsidR="009F56A0" w:rsidRPr="009B2B95" w:rsidRDefault="009F56A0" w:rsidP="001959F7">
            <w:pPr>
              <w:pStyle w:val="a3"/>
              <w:widowControl/>
              <w:numPr>
                <w:ilvl w:val="0"/>
                <w:numId w:val="16"/>
              </w:numPr>
              <w:spacing w:beforeLines="15" w:afterLines="15" w:line="360" w:lineRule="auto"/>
              <w:ind w:leftChars="0" w:left="460" w:hanging="283"/>
              <w:jc w:val="both"/>
              <w:rPr>
                <w:rFonts w:eastAsia="標楷體"/>
                <w:bCs/>
                <w:kern w:val="0"/>
              </w:rPr>
            </w:pPr>
            <w:r w:rsidRPr="009B2B95">
              <w:rPr>
                <w:rFonts w:eastAsia="標楷體"/>
                <w:b/>
                <w:bCs/>
                <w:kern w:val="0"/>
              </w:rPr>
              <w:lastRenderedPageBreak/>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r w:rsidRPr="009B2B95">
              <w:rPr>
                <w:rFonts w:eastAsia="標楷體"/>
                <w:bCs/>
                <w:kern w:val="0"/>
              </w:rPr>
              <w:t>掛簽、各種標準作業程序（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）（須標註其名稱或編號）、日常巡檢、定期檢查、承攬管理、採購管理、變更管理、人員全程監視等。</w:t>
            </w:r>
          </w:p>
          <w:p w:rsidR="009F56A0" w:rsidRPr="009B2B95" w:rsidRDefault="009F56A0" w:rsidP="001959F7">
            <w:pPr>
              <w:pStyle w:val="a3"/>
              <w:widowControl/>
              <w:numPr>
                <w:ilvl w:val="0"/>
                <w:numId w:val="16"/>
              </w:numPr>
              <w:spacing w:beforeLines="15" w:afterLines="15"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1959F7">
            <w:pPr>
              <w:pStyle w:val="a3"/>
              <w:widowControl/>
              <w:numPr>
                <w:ilvl w:val="0"/>
                <w:numId w:val="18"/>
              </w:numPr>
              <w:spacing w:beforeLines="15" w:afterLines="15"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如簡易型口罩、防塵口罩、濾毒罐呼吸防護具、濾毒罐輸氣管面罩、自給式空氣呼吸器（</w:t>
            </w:r>
            <w:r w:rsidRPr="009B2B95">
              <w:rPr>
                <w:rFonts w:eastAsia="標楷體"/>
                <w:kern w:val="0"/>
              </w:rPr>
              <w:t>SCBA</w:t>
            </w:r>
            <w:r w:rsidRPr="009B2B95">
              <w:rPr>
                <w:rFonts w:eastAsia="標楷體"/>
                <w:kern w:val="0"/>
              </w:rPr>
              <w:t>）等。</w:t>
            </w:r>
          </w:p>
          <w:p w:rsidR="009F56A0" w:rsidRPr="009B2B95" w:rsidRDefault="009F56A0" w:rsidP="001959F7">
            <w:pPr>
              <w:pStyle w:val="a3"/>
              <w:widowControl/>
              <w:numPr>
                <w:ilvl w:val="0"/>
                <w:numId w:val="18"/>
              </w:numPr>
              <w:spacing w:beforeLines="15" w:afterLines="15"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1959F7">
            <w:pPr>
              <w:pStyle w:val="a3"/>
              <w:widowControl/>
              <w:numPr>
                <w:ilvl w:val="0"/>
                <w:numId w:val="18"/>
              </w:numPr>
              <w:spacing w:beforeLines="15" w:afterLines="15"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防火手套、防凍手套、耐酸鹼手套、絕緣手套等。</w:t>
            </w:r>
          </w:p>
          <w:p w:rsidR="009F56A0" w:rsidRPr="009B2B95" w:rsidRDefault="009F56A0" w:rsidP="001959F7">
            <w:pPr>
              <w:pStyle w:val="a3"/>
              <w:widowControl/>
              <w:numPr>
                <w:ilvl w:val="0"/>
                <w:numId w:val="18"/>
              </w:numPr>
              <w:spacing w:beforeLines="15" w:afterLines="15"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安全面罩、安全眼鏡、護目鏡、安全鞋、安全帶、安全帽等。</w:t>
            </w:r>
          </w:p>
        </w:tc>
      </w:tr>
      <w:tr w:rsidR="009B2B95" w:rsidRPr="009B2B95" w:rsidTr="00F57DB6">
        <w:trPr>
          <w:trHeight w:val="1015"/>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1959F7">
            <w:pPr>
              <w:widowControl/>
              <w:spacing w:beforeLines="15" w:afterLines="15"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1959F7">
            <w:pPr>
              <w:pStyle w:val="a3"/>
              <w:widowControl/>
              <w:numPr>
                <w:ilvl w:val="0"/>
                <w:numId w:val="19"/>
              </w:numPr>
              <w:spacing w:beforeLines="15" w:afterLines="15" w:line="360" w:lineRule="auto"/>
              <w:ind w:leftChars="0" w:left="885" w:hanging="425"/>
              <w:jc w:val="both"/>
              <w:rPr>
                <w:rFonts w:eastAsia="標楷體"/>
                <w:kern w:val="0"/>
              </w:rPr>
            </w:pPr>
            <w:r w:rsidRPr="009B2B95">
              <w:rPr>
                <w:rFonts w:eastAsia="標楷體"/>
                <w:b/>
                <w:kern w:val="0"/>
              </w:rPr>
              <w:t>可能性：</w:t>
            </w:r>
            <w:r w:rsidRPr="009B2B95">
              <w:rPr>
                <w:rFonts w:eastAsia="標楷體"/>
                <w:kern w:val="0"/>
              </w:rPr>
              <w:t>依表</w:t>
            </w:r>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1959F7">
            <w:pPr>
              <w:pStyle w:val="a3"/>
              <w:widowControl/>
              <w:numPr>
                <w:ilvl w:val="0"/>
                <w:numId w:val="19"/>
              </w:numPr>
              <w:spacing w:beforeLines="15" w:afterLines="15" w:line="360" w:lineRule="auto"/>
              <w:ind w:leftChars="0" w:left="885" w:hanging="425"/>
              <w:jc w:val="both"/>
              <w:rPr>
                <w:rFonts w:eastAsia="標楷體"/>
                <w:kern w:val="0"/>
              </w:rPr>
            </w:pPr>
            <w:r w:rsidRPr="009B2B95">
              <w:rPr>
                <w:rFonts w:eastAsia="標楷體"/>
                <w:b/>
                <w:kern w:val="0"/>
              </w:rPr>
              <w:t>嚴重度：</w:t>
            </w:r>
            <w:r w:rsidRPr="009B2B95">
              <w:rPr>
                <w:rFonts w:eastAsia="標楷體"/>
                <w:kern w:val="0"/>
              </w:rPr>
              <w:t>依表</w:t>
            </w:r>
            <w:r w:rsidRPr="009B2B95">
              <w:rPr>
                <w:rFonts w:eastAsia="標楷體"/>
                <w:kern w:val="0"/>
              </w:rPr>
              <w:t>1-2</w:t>
            </w:r>
            <w:r w:rsidRPr="009B2B95">
              <w:rPr>
                <w:rFonts w:eastAsia="標楷體"/>
                <w:kern w:val="0"/>
              </w:rPr>
              <w:t>之分級基準，判定該後果嚴重度之等級。</w:t>
            </w:r>
          </w:p>
          <w:p w:rsidR="009F56A0" w:rsidRPr="009B2B95" w:rsidRDefault="009F56A0" w:rsidP="001959F7">
            <w:pPr>
              <w:pStyle w:val="a3"/>
              <w:widowControl/>
              <w:numPr>
                <w:ilvl w:val="0"/>
                <w:numId w:val="19"/>
              </w:numPr>
              <w:spacing w:beforeLines="15" w:afterLines="15" w:line="360" w:lineRule="auto"/>
              <w:ind w:leftChars="0" w:left="885" w:hanging="425"/>
              <w:jc w:val="both"/>
              <w:rPr>
                <w:rFonts w:eastAsia="標楷體"/>
                <w:kern w:val="0"/>
              </w:rPr>
            </w:pPr>
            <w:r w:rsidRPr="009B2B95">
              <w:rPr>
                <w:rFonts w:eastAsia="標楷體"/>
                <w:b/>
                <w:kern w:val="0"/>
              </w:rPr>
              <w:t>風險等級：</w:t>
            </w:r>
            <w:r w:rsidRPr="009B2B95">
              <w:rPr>
                <w:rFonts w:eastAsia="標楷體"/>
                <w:kern w:val="0"/>
              </w:rPr>
              <w:t>依表</w:t>
            </w:r>
            <w:r w:rsidRPr="009B2B95">
              <w:rPr>
                <w:rFonts w:eastAsia="標楷體"/>
                <w:kern w:val="0"/>
              </w:rPr>
              <w:t>1-3</w:t>
            </w:r>
            <w:r w:rsidRPr="009B2B95">
              <w:rPr>
                <w:rFonts w:eastAsia="標楷體"/>
                <w:kern w:val="0"/>
              </w:rPr>
              <w:t>之風險矩陣，判定該風險之等級，例如後果之可能性為〝</w:t>
            </w:r>
            <w:r w:rsidRPr="009B2B95">
              <w:rPr>
                <w:rFonts w:eastAsia="標楷體"/>
                <w:kern w:val="0"/>
              </w:rPr>
              <w:t>P2</w:t>
            </w:r>
            <w:r w:rsidRPr="009B2B95">
              <w:rPr>
                <w:rFonts w:eastAsia="標楷體"/>
                <w:kern w:val="0"/>
              </w:rPr>
              <w:t>〞、嚴重度〝</w:t>
            </w:r>
            <w:r w:rsidRPr="009B2B95">
              <w:rPr>
                <w:rFonts w:eastAsia="標楷體"/>
                <w:kern w:val="0"/>
              </w:rPr>
              <w:t>S2</w:t>
            </w:r>
            <w:r w:rsidRPr="009B2B95">
              <w:rPr>
                <w:rFonts w:eastAsia="標楷體"/>
                <w:kern w:val="0"/>
              </w:rPr>
              <w:t>〞，</w:t>
            </w:r>
            <w:r w:rsidRPr="009B2B95">
              <w:rPr>
                <w:rFonts w:eastAsia="標楷體"/>
                <w:kern w:val="0"/>
              </w:rPr>
              <w:lastRenderedPageBreak/>
              <w:t>其風險等級則為〝</w:t>
            </w:r>
            <w:r w:rsidRPr="009B2B95">
              <w:rPr>
                <w:rFonts w:eastAsia="標楷體"/>
                <w:kern w:val="0"/>
              </w:rPr>
              <w:t>3</w:t>
            </w:r>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1959F7">
            <w:pPr>
              <w:widowControl/>
              <w:numPr>
                <w:ilvl w:val="0"/>
                <w:numId w:val="10"/>
              </w:numPr>
              <w:tabs>
                <w:tab w:val="clear" w:pos="1800"/>
                <w:tab w:val="num" w:pos="744"/>
              </w:tabs>
              <w:spacing w:beforeLines="15" w:afterLines="15"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1959F7">
            <w:pPr>
              <w:widowControl/>
              <w:numPr>
                <w:ilvl w:val="0"/>
                <w:numId w:val="11"/>
              </w:numPr>
              <w:tabs>
                <w:tab w:val="clear" w:pos="837"/>
                <w:tab w:val="num" w:pos="1393"/>
              </w:tabs>
              <w:spacing w:beforeLines="15" w:afterLines="15"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1959F7">
            <w:pPr>
              <w:widowControl/>
              <w:numPr>
                <w:ilvl w:val="0"/>
                <w:numId w:val="11"/>
              </w:numPr>
              <w:tabs>
                <w:tab w:val="clear" w:pos="837"/>
                <w:tab w:val="num" w:pos="1393"/>
              </w:tabs>
              <w:spacing w:beforeLines="15" w:afterLines="15"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1959F7">
            <w:pPr>
              <w:widowControl/>
              <w:numPr>
                <w:ilvl w:val="0"/>
                <w:numId w:val="11"/>
              </w:numPr>
              <w:tabs>
                <w:tab w:val="clear" w:pos="837"/>
                <w:tab w:val="num" w:pos="1393"/>
              </w:tabs>
              <w:spacing w:beforeLines="15" w:afterLines="15"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1959F7">
            <w:pPr>
              <w:widowControl/>
              <w:spacing w:beforeLines="15" w:afterLines="15"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1959F7">
            <w:pPr>
              <w:widowControl/>
              <w:spacing w:beforeLines="15" w:afterLines="15"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1959F7">
            <w:pPr>
              <w:widowControl/>
              <w:numPr>
                <w:ilvl w:val="1"/>
                <w:numId w:val="12"/>
              </w:numPr>
              <w:tabs>
                <w:tab w:val="clear" w:pos="837"/>
                <w:tab w:val="num" w:pos="1393"/>
              </w:tabs>
              <w:spacing w:beforeLines="15" w:afterLines="15"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1959F7">
            <w:pPr>
              <w:widowControl/>
              <w:numPr>
                <w:ilvl w:val="1"/>
                <w:numId w:val="12"/>
              </w:numPr>
              <w:tabs>
                <w:tab w:val="clear" w:pos="837"/>
                <w:tab w:val="num" w:pos="1393"/>
              </w:tabs>
              <w:spacing w:beforeLines="15" w:afterLines="15"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1959F7">
            <w:pPr>
              <w:widowControl/>
              <w:numPr>
                <w:ilvl w:val="0"/>
                <w:numId w:val="10"/>
              </w:numPr>
              <w:tabs>
                <w:tab w:val="clear" w:pos="1800"/>
                <w:tab w:val="num" w:pos="744"/>
              </w:tabs>
              <w:spacing w:beforeLines="15" w:afterLines="15"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lastRenderedPageBreak/>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1959F7">
            <w:pPr>
              <w:widowControl/>
              <w:spacing w:beforeLines="15" w:afterLines="15" w:line="360" w:lineRule="auto"/>
              <w:jc w:val="both"/>
              <w:rPr>
                <w:rFonts w:eastAsia="標楷體"/>
                <w:b/>
                <w:kern w:val="0"/>
              </w:rPr>
            </w:pPr>
            <w:r w:rsidRPr="009B2B95">
              <w:rPr>
                <w:rFonts w:eastAsia="標楷體"/>
                <w:b/>
                <w:kern w:val="0"/>
              </w:rPr>
              <w:lastRenderedPageBreak/>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1959F7">
            <w:pPr>
              <w:widowControl/>
              <w:spacing w:beforeLines="15" w:afterLines="15"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3A7416" w:rsidRDefault="003A7416" w:rsidP="00C72A59">
      <w:pPr>
        <w:spacing w:line="360" w:lineRule="auto"/>
        <w:rPr>
          <w:rFonts w:eastAsia="標楷體"/>
          <w:bCs/>
        </w:rPr>
      </w:pPr>
    </w:p>
    <w:p w:rsidR="00241393" w:rsidRPr="009B2B95" w:rsidRDefault="00241393" w:rsidP="00C72A59">
      <w:pPr>
        <w:spacing w:line="360" w:lineRule="auto"/>
        <w:rPr>
          <w:rFonts w:eastAsia="標楷體"/>
          <w:bCs/>
        </w:rPr>
      </w:pPr>
      <w:r w:rsidRPr="009B2B95">
        <w:rPr>
          <w:rFonts w:eastAsia="標楷體"/>
          <w:bCs/>
        </w:rPr>
        <w:t>表</w:t>
      </w:r>
      <w:r w:rsidRPr="009B2B95">
        <w:rPr>
          <w:rFonts w:eastAsia="標楷體"/>
          <w:bCs/>
        </w:rPr>
        <w:t xml:space="preserve">1-1 </w:t>
      </w:r>
      <w:r w:rsidRPr="009B2B95">
        <w:rPr>
          <w:rFonts w:eastAsia="標楷體"/>
          <w:bCs/>
        </w:rPr>
        <w:t>嚴重度之分級基準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009"/>
        <w:gridCol w:w="3702"/>
        <w:gridCol w:w="2177"/>
        <w:gridCol w:w="2662"/>
        <w:gridCol w:w="4085"/>
      </w:tblGrid>
      <w:tr w:rsidR="009B2B95" w:rsidRPr="009B2B95" w:rsidTr="00DA5D8E">
        <w:tc>
          <w:tcPr>
            <w:tcW w:w="546" w:type="pct"/>
            <w:gridSpan w:val="2"/>
          </w:tcPr>
          <w:p w:rsidR="004D0AC1" w:rsidRPr="009B2B95" w:rsidRDefault="004D0AC1" w:rsidP="00C72A59">
            <w:pPr>
              <w:jc w:val="center"/>
              <w:rPr>
                <w:rFonts w:eastAsia="標楷體"/>
                <w:b/>
              </w:rPr>
            </w:pPr>
            <w:r w:rsidRPr="009B2B95">
              <w:rPr>
                <w:rFonts w:eastAsia="標楷體"/>
                <w:b/>
              </w:rPr>
              <w:t>等級</w:t>
            </w:r>
          </w:p>
        </w:tc>
        <w:tc>
          <w:tcPr>
            <w:tcW w:w="1306" w:type="pct"/>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768" w:type="pct"/>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939" w:type="pct"/>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1441" w:type="pct"/>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DA5D8E">
        <w:tc>
          <w:tcPr>
            <w:tcW w:w="190"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355"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1306" w:type="pct"/>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768"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939"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1441" w:type="pct"/>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DA5D8E">
        <w:tc>
          <w:tcPr>
            <w:tcW w:w="190"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355"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1306" w:type="pct"/>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768"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939"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1441" w:type="pct"/>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停止相關活動數週</w:t>
            </w:r>
          </w:p>
        </w:tc>
      </w:tr>
      <w:tr w:rsidR="009B2B95" w:rsidRPr="009B2B95" w:rsidTr="00DA5D8E">
        <w:tc>
          <w:tcPr>
            <w:tcW w:w="190"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355"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1306" w:type="pct"/>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須外送就醫，且造成工時損失之災害</w:t>
            </w:r>
          </w:p>
        </w:tc>
        <w:tc>
          <w:tcPr>
            <w:tcW w:w="768"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939"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1441" w:type="pct"/>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DA5D8E">
        <w:tc>
          <w:tcPr>
            <w:tcW w:w="190"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355" w:type="pct"/>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1306" w:type="pct"/>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768"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939" w:type="pct"/>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1441" w:type="pct"/>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r w:rsidR="00FE48C1" w:rsidRPr="009B2B95">
              <w:rPr>
                <w:rFonts w:ascii="標楷體" w:eastAsia="標楷體" w:hAnsi="標楷體" w:hint="eastAsia"/>
                <w:bCs/>
              </w:rPr>
              <w:t>≧</w:t>
            </w:r>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上述分級基準可擇一使用，並依實際需求予以調整。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E1" w:rsidRDefault="001D48E1" w:rsidP="00D40DE1">
      <w:r>
        <w:separator/>
      </w:r>
    </w:p>
  </w:endnote>
  <w:endnote w:type="continuationSeparator" w:id="0">
    <w:p w:rsidR="001D48E1" w:rsidRDefault="001D48E1" w:rsidP="00D40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15" w:rsidRPr="00AD7CB8" w:rsidRDefault="00575315" w:rsidP="00575315">
    <w:pPr>
      <w:pStyle w:val="a6"/>
      <w:jc w:val="center"/>
      <w:rPr>
        <w:rFonts w:eastAsia="標楷體"/>
      </w:rPr>
    </w:pPr>
    <w:r w:rsidRPr="009A23C1">
      <w:rPr>
        <w:rFonts w:eastAsia="標楷體"/>
      </w:rPr>
      <w:t>第</w:t>
    </w:r>
    <w:r w:rsidR="00393F33" w:rsidRPr="009A23C1">
      <w:rPr>
        <w:rFonts w:eastAsia="標楷體"/>
      </w:rPr>
      <w:fldChar w:fldCharType="begin"/>
    </w:r>
    <w:r w:rsidRPr="009A23C1">
      <w:rPr>
        <w:rFonts w:eastAsia="標楷體"/>
      </w:rPr>
      <w:instrText>PAGE   \* MERGEFORMAT</w:instrText>
    </w:r>
    <w:r w:rsidR="00393F33" w:rsidRPr="009A23C1">
      <w:rPr>
        <w:rFonts w:eastAsia="標楷體"/>
      </w:rPr>
      <w:fldChar w:fldCharType="separate"/>
    </w:r>
    <w:r w:rsidR="00DA5D8E" w:rsidRPr="00DA5D8E">
      <w:rPr>
        <w:rFonts w:eastAsia="標楷體"/>
        <w:noProof/>
        <w:lang w:val="zh-TW"/>
      </w:rPr>
      <w:t>16</w:t>
    </w:r>
    <w:r w:rsidR="00393F33"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DA5D8E" w:rsidRPr="00DA5D8E">
        <w:rPr>
          <w:rFonts w:eastAsia="標楷體"/>
          <w:noProof/>
        </w:rPr>
        <w:t>16</w:t>
      </w:r>
    </w:fldSimple>
    <w:r w:rsidRPr="009A23C1">
      <w:rPr>
        <w:rFonts w:eastAsia="標楷體"/>
      </w:rPr>
      <w:t>頁</w:t>
    </w:r>
  </w:p>
  <w:p w:rsidR="00575315" w:rsidRDefault="005753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E1" w:rsidRDefault="001D48E1" w:rsidP="00D40DE1">
      <w:r>
        <w:separator/>
      </w:r>
    </w:p>
  </w:footnote>
  <w:footnote w:type="continuationSeparator" w:id="0">
    <w:p w:rsidR="001D48E1" w:rsidRDefault="001D48E1" w:rsidP="00D4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DA" w:rsidRPr="00852D70" w:rsidRDefault="003133DA" w:rsidP="00786124">
    <w:pPr>
      <w:ind w:left="283" w:hangingChars="118" w:hanging="283"/>
      <w:rPr>
        <w:rFonts w:eastAsia="標楷體"/>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0204A4F"/>
    <w:multiLevelType w:val="hybridMultilevel"/>
    <w:tmpl w:val="6E483612"/>
    <w:lvl w:ilvl="0" w:tplc="E1E0DB36">
      <w:start w:val="8"/>
      <w:numFmt w:val="taiwaneseCountingThousand"/>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393"/>
    <w:rsid w:val="00020E68"/>
    <w:rsid w:val="00023F1F"/>
    <w:rsid w:val="00024A32"/>
    <w:rsid w:val="00041C56"/>
    <w:rsid w:val="00065F01"/>
    <w:rsid w:val="00077465"/>
    <w:rsid w:val="000A56A9"/>
    <w:rsid w:val="000D6CE2"/>
    <w:rsid w:val="000E4050"/>
    <w:rsid w:val="000E6885"/>
    <w:rsid w:val="0014644A"/>
    <w:rsid w:val="00180A85"/>
    <w:rsid w:val="00192B86"/>
    <w:rsid w:val="001959F7"/>
    <w:rsid w:val="001B7812"/>
    <w:rsid w:val="001B7D46"/>
    <w:rsid w:val="001D48E1"/>
    <w:rsid w:val="001E0B29"/>
    <w:rsid w:val="0020603B"/>
    <w:rsid w:val="0022275E"/>
    <w:rsid w:val="002251CA"/>
    <w:rsid w:val="002332E0"/>
    <w:rsid w:val="00235A88"/>
    <w:rsid w:val="00241393"/>
    <w:rsid w:val="00253131"/>
    <w:rsid w:val="00276369"/>
    <w:rsid w:val="00276787"/>
    <w:rsid w:val="002866C6"/>
    <w:rsid w:val="002D1415"/>
    <w:rsid w:val="003133DA"/>
    <w:rsid w:val="003167BD"/>
    <w:rsid w:val="00340F87"/>
    <w:rsid w:val="003446C4"/>
    <w:rsid w:val="003749A2"/>
    <w:rsid w:val="00393F33"/>
    <w:rsid w:val="003A20BF"/>
    <w:rsid w:val="003A680A"/>
    <w:rsid w:val="003A7416"/>
    <w:rsid w:val="003F7CD2"/>
    <w:rsid w:val="00407D67"/>
    <w:rsid w:val="004767E9"/>
    <w:rsid w:val="004D0AC1"/>
    <w:rsid w:val="004D63DF"/>
    <w:rsid w:val="004F795A"/>
    <w:rsid w:val="00552CA2"/>
    <w:rsid w:val="00564327"/>
    <w:rsid w:val="00575315"/>
    <w:rsid w:val="00583481"/>
    <w:rsid w:val="00585FF8"/>
    <w:rsid w:val="005923EC"/>
    <w:rsid w:val="005D6039"/>
    <w:rsid w:val="005F0D38"/>
    <w:rsid w:val="00612978"/>
    <w:rsid w:val="00633111"/>
    <w:rsid w:val="00643846"/>
    <w:rsid w:val="006449DB"/>
    <w:rsid w:val="006503C2"/>
    <w:rsid w:val="00661658"/>
    <w:rsid w:val="006626C5"/>
    <w:rsid w:val="00665CED"/>
    <w:rsid w:val="0068295E"/>
    <w:rsid w:val="00690C45"/>
    <w:rsid w:val="006A328C"/>
    <w:rsid w:val="006A3673"/>
    <w:rsid w:val="006B6990"/>
    <w:rsid w:val="006C2C33"/>
    <w:rsid w:val="006F606D"/>
    <w:rsid w:val="006F73ED"/>
    <w:rsid w:val="007140ED"/>
    <w:rsid w:val="007318B9"/>
    <w:rsid w:val="00740E7F"/>
    <w:rsid w:val="00766390"/>
    <w:rsid w:val="00786124"/>
    <w:rsid w:val="007B12F2"/>
    <w:rsid w:val="007D2A89"/>
    <w:rsid w:val="007E45C0"/>
    <w:rsid w:val="007E72B5"/>
    <w:rsid w:val="00844224"/>
    <w:rsid w:val="008459E7"/>
    <w:rsid w:val="00855535"/>
    <w:rsid w:val="00874ACC"/>
    <w:rsid w:val="008C11F5"/>
    <w:rsid w:val="008E0916"/>
    <w:rsid w:val="008E46A4"/>
    <w:rsid w:val="009401D6"/>
    <w:rsid w:val="0097168E"/>
    <w:rsid w:val="00984F1D"/>
    <w:rsid w:val="00990BCD"/>
    <w:rsid w:val="009B2B95"/>
    <w:rsid w:val="009C27B4"/>
    <w:rsid w:val="009F56A0"/>
    <w:rsid w:val="00A37BFC"/>
    <w:rsid w:val="00A55E40"/>
    <w:rsid w:val="00A626F0"/>
    <w:rsid w:val="00A818D1"/>
    <w:rsid w:val="00A82B55"/>
    <w:rsid w:val="00AA0D86"/>
    <w:rsid w:val="00AF4FDF"/>
    <w:rsid w:val="00B15F5C"/>
    <w:rsid w:val="00BB7B98"/>
    <w:rsid w:val="00BD08F1"/>
    <w:rsid w:val="00BE4916"/>
    <w:rsid w:val="00BF45B5"/>
    <w:rsid w:val="00C12F17"/>
    <w:rsid w:val="00C21874"/>
    <w:rsid w:val="00C43763"/>
    <w:rsid w:val="00C62969"/>
    <w:rsid w:val="00C72A59"/>
    <w:rsid w:val="00C92E73"/>
    <w:rsid w:val="00CB79D2"/>
    <w:rsid w:val="00CD5629"/>
    <w:rsid w:val="00CF2C8D"/>
    <w:rsid w:val="00D218FA"/>
    <w:rsid w:val="00D40DE1"/>
    <w:rsid w:val="00D55A29"/>
    <w:rsid w:val="00D75B19"/>
    <w:rsid w:val="00D93B06"/>
    <w:rsid w:val="00D95704"/>
    <w:rsid w:val="00DA5D8E"/>
    <w:rsid w:val="00DB48F7"/>
    <w:rsid w:val="00DB5E8A"/>
    <w:rsid w:val="00DF10F9"/>
    <w:rsid w:val="00E15D77"/>
    <w:rsid w:val="00E23A91"/>
    <w:rsid w:val="00E8297B"/>
    <w:rsid w:val="00ED3F1C"/>
    <w:rsid w:val="00EF2A4E"/>
    <w:rsid w:val="00F0006E"/>
    <w:rsid w:val="00F02978"/>
    <w:rsid w:val="00F10B84"/>
    <w:rsid w:val="00F14713"/>
    <w:rsid w:val="00F24F4F"/>
    <w:rsid w:val="00F50685"/>
    <w:rsid w:val="00F5193B"/>
    <w:rsid w:val="00F57DB6"/>
    <w:rsid w:val="00F630DE"/>
    <w:rsid w:val="00FA5B8E"/>
    <w:rsid w:val="00FB0227"/>
    <w:rsid w:val="00FB6B0A"/>
    <w:rsid w:val="00FC3EBC"/>
    <w:rsid w:val="00FE4619"/>
    <w:rsid w:val="00FE48C1"/>
    <w:rsid w:val="00FF5754"/>
    <w:rsid w:val="00FF5B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1849">
      <w:bodyDiv w:val="1"/>
      <w:marLeft w:val="0"/>
      <w:marRight w:val="0"/>
      <w:marTop w:val="0"/>
      <w:marBottom w:val="0"/>
      <w:divBdr>
        <w:top w:val="none" w:sz="0" w:space="0" w:color="auto"/>
        <w:left w:val="none" w:sz="0" w:space="0" w:color="auto"/>
        <w:bottom w:val="none" w:sz="0" w:space="0" w:color="auto"/>
        <w:right w:val="none" w:sz="0" w:space="0" w:color="auto"/>
      </w:divBdr>
    </w:div>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___1111111111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962F-7055-4068-8980-838D2D44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992</Words>
  <Characters>5657</Characters>
  <Application>Microsoft Office Word</Application>
  <DocSecurity>0</DocSecurity>
  <Lines>47</Lines>
  <Paragraphs>13</Paragraphs>
  <ScaleCrop>false</ScaleCrop>
  <Company>HOME</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20</cp:revision>
  <cp:lastPrinted>2021-10-14T03:36:00Z</cp:lastPrinted>
  <dcterms:created xsi:type="dcterms:W3CDTF">2020-08-07T01:49:00Z</dcterms:created>
  <dcterms:modified xsi:type="dcterms:W3CDTF">2021-10-25T07:34:00Z</dcterms:modified>
</cp:coreProperties>
</file>