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910EF" w14:textId="77777777" w:rsidR="00E84F65" w:rsidRPr="00E84F65" w:rsidRDefault="00E84F65" w:rsidP="00E84F65">
      <w:pPr>
        <w:pStyle w:val="Standard"/>
        <w:spacing w:line="500" w:lineRule="exact"/>
        <w:ind w:left="480"/>
        <w:jc w:val="both"/>
        <w:rPr>
          <w:rFonts w:eastAsia="標楷體"/>
          <w:sz w:val="28"/>
        </w:rPr>
      </w:pPr>
    </w:p>
    <w:p w14:paraId="0B6B9A5D" w14:textId="77777777" w:rsidR="00E84F65" w:rsidRPr="00E84F65" w:rsidRDefault="00E84F65" w:rsidP="00E84F65">
      <w:pPr>
        <w:pStyle w:val="Standard"/>
        <w:spacing w:line="500" w:lineRule="exact"/>
        <w:ind w:left="480"/>
        <w:jc w:val="both"/>
        <w:rPr>
          <w:rFonts w:eastAsia="標楷體"/>
          <w:sz w:val="28"/>
        </w:rPr>
      </w:pPr>
    </w:p>
    <w:p w14:paraId="3A0D86E0" w14:textId="6A9BD527" w:rsidR="00E84F65" w:rsidRPr="00E84F65" w:rsidRDefault="00E84F65" w:rsidP="00E84F65">
      <w:pPr>
        <w:pStyle w:val="Standard"/>
        <w:spacing w:line="480" w:lineRule="exact"/>
        <w:jc w:val="center"/>
        <w:rPr>
          <w:rFonts w:eastAsia="標楷體"/>
          <w:sz w:val="40"/>
        </w:rPr>
      </w:pPr>
      <w:r w:rsidRPr="00E84F65">
        <w:rPr>
          <w:rFonts w:eastAsia="標楷體"/>
          <w:sz w:val="40"/>
        </w:rPr>
        <w:t>中華民國第</w:t>
      </w:r>
      <w:r w:rsidR="00B836E1">
        <w:rPr>
          <w:rFonts w:eastAsia="標楷體"/>
          <w:sz w:val="40"/>
        </w:rPr>
        <w:t>65</w:t>
      </w:r>
      <w:bookmarkStart w:id="0" w:name="_GoBack"/>
      <w:bookmarkEnd w:id="0"/>
      <w:r w:rsidRPr="00E84F65">
        <w:rPr>
          <w:rFonts w:eastAsia="標楷體"/>
          <w:sz w:val="40"/>
        </w:rPr>
        <w:t>屆中小學科學展覽會</w:t>
      </w:r>
    </w:p>
    <w:p w14:paraId="33FC15D8" w14:textId="77777777" w:rsidR="00E84F65" w:rsidRPr="00E84F65" w:rsidRDefault="00E84F65" w:rsidP="00E84F65">
      <w:pPr>
        <w:pStyle w:val="Standard"/>
        <w:spacing w:line="480" w:lineRule="exact"/>
        <w:jc w:val="center"/>
        <w:rPr>
          <w:rFonts w:eastAsia="標楷體"/>
          <w:sz w:val="40"/>
        </w:rPr>
      </w:pPr>
      <w:r w:rsidRPr="00E84F65">
        <w:rPr>
          <w:rFonts w:eastAsia="標楷體"/>
          <w:sz w:val="40"/>
        </w:rPr>
        <w:t>作品說明書</w:t>
      </w:r>
    </w:p>
    <w:p w14:paraId="68DECA78" w14:textId="77777777" w:rsidR="00E84F65" w:rsidRPr="00E84F65" w:rsidRDefault="00E84F65" w:rsidP="00E84F65">
      <w:pPr>
        <w:pStyle w:val="Standard"/>
        <w:spacing w:line="480" w:lineRule="exact"/>
        <w:jc w:val="both"/>
        <w:rPr>
          <w:rFonts w:eastAsia="標楷體"/>
          <w:sz w:val="32"/>
        </w:rPr>
      </w:pPr>
    </w:p>
    <w:p w14:paraId="460A56FA" w14:textId="77777777" w:rsidR="00E84F65" w:rsidRPr="00E84F65" w:rsidRDefault="00E84F65" w:rsidP="00E84F65">
      <w:pPr>
        <w:pStyle w:val="Standard"/>
        <w:spacing w:line="480" w:lineRule="exact"/>
        <w:jc w:val="both"/>
        <w:rPr>
          <w:rFonts w:eastAsia="標楷體"/>
          <w:sz w:val="32"/>
        </w:rPr>
      </w:pPr>
      <w:r w:rsidRPr="00E84F65">
        <w:rPr>
          <w:rFonts w:eastAsia="標楷體"/>
          <w:sz w:val="32"/>
        </w:rPr>
        <w:t>科　　別：</w:t>
      </w:r>
    </w:p>
    <w:p w14:paraId="15B7988E" w14:textId="77777777" w:rsidR="00E84F65" w:rsidRPr="00E84F65" w:rsidRDefault="00E84F65" w:rsidP="00E84F65">
      <w:pPr>
        <w:pStyle w:val="Standard"/>
        <w:spacing w:line="480" w:lineRule="exact"/>
        <w:jc w:val="both"/>
        <w:rPr>
          <w:rFonts w:eastAsia="標楷體"/>
          <w:sz w:val="32"/>
        </w:rPr>
      </w:pPr>
      <w:r w:rsidRPr="00E84F65">
        <w:rPr>
          <w:rFonts w:eastAsia="標楷體"/>
          <w:sz w:val="32"/>
        </w:rPr>
        <w:t>組　　別：</w:t>
      </w:r>
    </w:p>
    <w:p w14:paraId="3F6429FF" w14:textId="77777777" w:rsidR="00E84F65" w:rsidRPr="00E84F65" w:rsidRDefault="00E84F65" w:rsidP="00E84F65">
      <w:pPr>
        <w:pStyle w:val="Standard"/>
        <w:spacing w:line="480" w:lineRule="exact"/>
        <w:jc w:val="both"/>
        <w:rPr>
          <w:rFonts w:eastAsia="標楷體"/>
          <w:sz w:val="32"/>
        </w:rPr>
      </w:pPr>
      <w:r w:rsidRPr="00E84F65">
        <w:rPr>
          <w:rFonts w:eastAsia="標楷體"/>
          <w:sz w:val="32"/>
        </w:rPr>
        <w:t>作品名稱：</w:t>
      </w:r>
    </w:p>
    <w:p w14:paraId="00ABEE23" w14:textId="77777777" w:rsidR="00E84F65" w:rsidRPr="00E84F65" w:rsidRDefault="00E84F65" w:rsidP="00E84F65">
      <w:pPr>
        <w:pStyle w:val="Standard"/>
        <w:spacing w:line="480" w:lineRule="exact"/>
        <w:jc w:val="both"/>
        <w:rPr>
          <w:rFonts w:eastAsia="標楷體"/>
          <w:sz w:val="32"/>
        </w:rPr>
      </w:pPr>
      <w:r w:rsidRPr="00E84F65">
        <w:rPr>
          <w:rFonts w:eastAsia="標楷體"/>
          <w:sz w:val="32"/>
        </w:rPr>
        <w:t>關</w:t>
      </w:r>
      <w:r w:rsidRPr="00E84F65">
        <w:rPr>
          <w:rFonts w:eastAsia="標楷體"/>
          <w:sz w:val="32"/>
        </w:rPr>
        <w:t xml:space="preserve"> </w:t>
      </w:r>
      <w:r w:rsidRPr="00E84F65">
        <w:rPr>
          <w:rFonts w:eastAsia="標楷體"/>
          <w:sz w:val="32"/>
        </w:rPr>
        <w:t>鍵</w:t>
      </w:r>
      <w:r w:rsidRPr="00E84F65">
        <w:rPr>
          <w:rFonts w:eastAsia="標楷體"/>
          <w:sz w:val="32"/>
        </w:rPr>
        <w:t xml:space="preserve"> </w:t>
      </w:r>
      <w:r w:rsidRPr="00E84F65">
        <w:rPr>
          <w:rFonts w:eastAsia="標楷體"/>
          <w:sz w:val="32"/>
        </w:rPr>
        <w:t>詞：　　　　、　　　　、　　　　（最多</w:t>
      </w:r>
      <w:r w:rsidRPr="00E84F65">
        <w:rPr>
          <w:rFonts w:eastAsia="標楷體"/>
          <w:sz w:val="32"/>
        </w:rPr>
        <w:t>3</w:t>
      </w:r>
      <w:r w:rsidRPr="00E84F65">
        <w:rPr>
          <w:rFonts w:eastAsia="標楷體"/>
          <w:sz w:val="32"/>
        </w:rPr>
        <w:t>個）</w:t>
      </w:r>
    </w:p>
    <w:p w14:paraId="5EDB67AA" w14:textId="77777777" w:rsidR="00E84F65" w:rsidRPr="00E84F65" w:rsidRDefault="00E84F65" w:rsidP="00E84F65">
      <w:pPr>
        <w:pStyle w:val="Standard"/>
        <w:spacing w:line="480" w:lineRule="exact"/>
        <w:jc w:val="both"/>
        <w:rPr>
          <w:rFonts w:eastAsia="標楷體"/>
          <w:sz w:val="32"/>
        </w:rPr>
      </w:pPr>
    </w:p>
    <w:p w14:paraId="2224D262" w14:textId="77777777" w:rsidR="00E84F65" w:rsidRPr="00E84F65" w:rsidRDefault="00E84F65" w:rsidP="00E84F65">
      <w:pPr>
        <w:pStyle w:val="Standard"/>
        <w:spacing w:line="480" w:lineRule="exact"/>
        <w:jc w:val="both"/>
        <w:rPr>
          <w:rFonts w:eastAsia="標楷體"/>
          <w:sz w:val="32"/>
        </w:rPr>
      </w:pPr>
    </w:p>
    <w:p w14:paraId="79A7AE93" w14:textId="77777777" w:rsidR="00E84F65" w:rsidRPr="00E84F65" w:rsidRDefault="00E84F65" w:rsidP="00E84F65">
      <w:pPr>
        <w:pStyle w:val="Standard"/>
        <w:spacing w:line="480" w:lineRule="exact"/>
        <w:jc w:val="both"/>
        <w:rPr>
          <w:rFonts w:eastAsia="標楷體"/>
          <w:sz w:val="32"/>
        </w:rPr>
      </w:pPr>
      <w:r w:rsidRPr="00E84F65">
        <w:rPr>
          <w:rFonts w:eastAsia="標楷體"/>
          <w:sz w:val="32"/>
        </w:rPr>
        <w:t>編</w:t>
      </w:r>
      <w:r w:rsidRPr="00E84F65">
        <w:rPr>
          <w:rFonts w:eastAsia="標楷體"/>
          <w:sz w:val="32"/>
        </w:rPr>
        <w:t xml:space="preserve">    </w:t>
      </w:r>
      <w:r w:rsidRPr="00E84F65">
        <w:rPr>
          <w:rFonts w:eastAsia="標楷體"/>
          <w:sz w:val="32"/>
        </w:rPr>
        <w:t>號：</w:t>
      </w:r>
    </w:p>
    <w:p w14:paraId="30E1275A" w14:textId="77777777" w:rsidR="00E84F65" w:rsidRPr="00E84F65" w:rsidRDefault="00E84F65" w:rsidP="00E84F65">
      <w:pPr>
        <w:pStyle w:val="Standard"/>
        <w:spacing w:line="480" w:lineRule="exact"/>
        <w:jc w:val="both"/>
        <w:rPr>
          <w:rFonts w:eastAsia="標楷體"/>
          <w:sz w:val="28"/>
        </w:rPr>
      </w:pPr>
    </w:p>
    <w:p w14:paraId="48AF7B8A" w14:textId="77777777" w:rsidR="00E84F65" w:rsidRPr="00E84F65" w:rsidRDefault="00E84F65" w:rsidP="00E84F65">
      <w:pPr>
        <w:pStyle w:val="Standard"/>
        <w:spacing w:line="480" w:lineRule="exact"/>
        <w:jc w:val="both"/>
        <w:rPr>
          <w:rFonts w:eastAsia="標楷體"/>
        </w:rPr>
      </w:pPr>
    </w:p>
    <w:p w14:paraId="0F2340CA" w14:textId="77777777" w:rsidR="00E84F65" w:rsidRPr="00E84F65" w:rsidRDefault="00E84F65" w:rsidP="00E84F65">
      <w:pPr>
        <w:pStyle w:val="Standard"/>
        <w:spacing w:line="480" w:lineRule="exact"/>
        <w:jc w:val="both"/>
        <w:rPr>
          <w:rFonts w:eastAsia="標楷體"/>
        </w:rPr>
      </w:pPr>
      <w:r w:rsidRPr="00E84F65">
        <w:rPr>
          <w:rFonts w:eastAsia="標楷體"/>
        </w:rPr>
        <w:t>製作說明：</w:t>
      </w:r>
    </w:p>
    <w:p w14:paraId="56794F30" w14:textId="77777777" w:rsidR="00E84F65" w:rsidRPr="00E84F65" w:rsidRDefault="00E84F65" w:rsidP="00E84F65">
      <w:pPr>
        <w:pStyle w:val="Standard"/>
        <w:spacing w:line="480" w:lineRule="exact"/>
        <w:jc w:val="both"/>
        <w:rPr>
          <w:rFonts w:eastAsia="標楷體"/>
        </w:rPr>
      </w:pPr>
      <w:r w:rsidRPr="00E84F65">
        <w:rPr>
          <w:rFonts w:eastAsia="標楷體"/>
        </w:rPr>
        <w:t>1.</w:t>
      </w:r>
      <w:r w:rsidRPr="00E84F65">
        <w:rPr>
          <w:rFonts w:eastAsia="標楷體"/>
        </w:rPr>
        <w:t>說明書封面僅寫科別、組別、作品名稱及關鍵詞。</w:t>
      </w:r>
    </w:p>
    <w:p w14:paraId="06DFBB0F" w14:textId="77777777" w:rsidR="00E84F65" w:rsidRPr="00E84F65" w:rsidRDefault="00E84F65" w:rsidP="00E84F65">
      <w:pPr>
        <w:pStyle w:val="Standard"/>
        <w:spacing w:line="480" w:lineRule="exact"/>
        <w:jc w:val="both"/>
        <w:rPr>
          <w:rFonts w:eastAsia="標楷體"/>
        </w:rPr>
      </w:pPr>
      <w:r w:rsidRPr="00E84F65">
        <w:rPr>
          <w:rFonts w:eastAsia="標楷體"/>
        </w:rPr>
        <w:t>2.</w:t>
      </w:r>
      <w:r w:rsidRPr="00E84F65">
        <w:rPr>
          <w:rFonts w:eastAsia="標楷體"/>
        </w:rPr>
        <w:t>編號由國立臺灣科學教育館統一編列。</w:t>
      </w:r>
    </w:p>
    <w:p w14:paraId="5017E106" w14:textId="77777777" w:rsidR="00E84F65" w:rsidRPr="00E84F65" w:rsidRDefault="00E84F65" w:rsidP="00E84F65">
      <w:pPr>
        <w:pStyle w:val="Standard"/>
        <w:spacing w:line="480" w:lineRule="exact"/>
        <w:jc w:val="both"/>
        <w:rPr>
          <w:rFonts w:eastAsia="標楷體"/>
        </w:rPr>
        <w:sectPr w:rsidR="00E84F65" w:rsidRPr="00E84F65">
          <w:headerReference w:type="default" r:id="rId7"/>
          <w:footerReference w:type="default" r:id="rId8"/>
          <w:pgSz w:w="11906" w:h="16838"/>
          <w:pgMar w:top="1134" w:right="1134" w:bottom="1134" w:left="1134" w:header="851" w:footer="851" w:gutter="0"/>
          <w:cols w:space="720"/>
        </w:sectPr>
      </w:pPr>
      <w:r w:rsidRPr="00E84F65">
        <w:rPr>
          <w:rFonts w:eastAsia="標楷體"/>
        </w:rPr>
        <w:t>3.</w:t>
      </w:r>
      <w:r w:rsidRPr="00E84F65">
        <w:rPr>
          <w:rFonts w:eastAsia="標楷體"/>
        </w:rPr>
        <w:t>封面編排由參展作者自行設計。</w:t>
      </w:r>
    </w:p>
    <w:p w14:paraId="3F209452" w14:textId="77777777" w:rsidR="00E84F65" w:rsidRPr="00E84F65" w:rsidRDefault="00E84F65" w:rsidP="00E84F65">
      <w:pPr>
        <w:pStyle w:val="Standard"/>
        <w:spacing w:line="500" w:lineRule="exact"/>
        <w:ind w:left="480"/>
        <w:jc w:val="both"/>
        <w:rPr>
          <w:rFonts w:eastAsia="標楷體"/>
          <w:sz w:val="28"/>
        </w:rPr>
      </w:pPr>
      <w:r w:rsidRPr="00E84F65">
        <w:rPr>
          <w:rFonts w:eastAsia="標楷體"/>
          <w:sz w:val="28"/>
        </w:rPr>
        <w:lastRenderedPageBreak/>
        <w:t>作品名稱</w:t>
      </w:r>
    </w:p>
    <w:p w14:paraId="5FE6F244" w14:textId="77777777" w:rsidR="00E84F65" w:rsidRPr="00E84F65" w:rsidRDefault="00E84F65" w:rsidP="00E84F65">
      <w:pPr>
        <w:pStyle w:val="Standard"/>
        <w:spacing w:line="500" w:lineRule="exact"/>
        <w:ind w:left="480"/>
        <w:jc w:val="both"/>
      </w:pPr>
      <w:r w:rsidRPr="00E84F65">
        <w:rPr>
          <w:rFonts w:eastAsia="標楷體"/>
          <w:sz w:val="28"/>
        </w:rPr>
        <w:t>摘要（</w:t>
      </w:r>
      <w:r w:rsidRPr="00E84F65">
        <w:rPr>
          <w:rFonts w:eastAsia="標楷體"/>
        </w:rPr>
        <w:t>300</w:t>
      </w:r>
      <w:r w:rsidRPr="00E84F65">
        <w:rPr>
          <w:rFonts w:eastAsia="標楷體"/>
        </w:rPr>
        <w:t>字以內含標點符號）</w:t>
      </w:r>
    </w:p>
    <w:p w14:paraId="39E90ACC" w14:textId="77777777" w:rsidR="00E84F65" w:rsidRPr="00E84F65" w:rsidRDefault="00E84F65" w:rsidP="00E84F65">
      <w:pPr>
        <w:pStyle w:val="Standard"/>
        <w:spacing w:line="500" w:lineRule="exact"/>
        <w:ind w:left="439"/>
        <w:jc w:val="both"/>
        <w:rPr>
          <w:rFonts w:eastAsia="標楷體"/>
          <w:sz w:val="28"/>
        </w:rPr>
      </w:pPr>
      <w:r w:rsidRPr="00E84F65">
        <w:rPr>
          <w:rFonts w:eastAsia="標楷體"/>
          <w:sz w:val="28"/>
        </w:rPr>
        <w:t>壹、研究動機</w:t>
      </w:r>
    </w:p>
    <w:p w14:paraId="3C5003C2" w14:textId="77777777" w:rsidR="00E84F65" w:rsidRPr="00E84F65" w:rsidRDefault="00E84F65" w:rsidP="00E84F65">
      <w:pPr>
        <w:pStyle w:val="Standard"/>
        <w:spacing w:line="500" w:lineRule="exact"/>
        <w:ind w:left="439"/>
        <w:jc w:val="both"/>
        <w:rPr>
          <w:rFonts w:eastAsia="標楷體"/>
          <w:sz w:val="28"/>
        </w:rPr>
      </w:pPr>
      <w:r w:rsidRPr="00E84F65">
        <w:rPr>
          <w:rFonts w:eastAsia="標楷體"/>
          <w:sz w:val="28"/>
        </w:rPr>
        <w:t>貳、研究目的</w:t>
      </w:r>
    </w:p>
    <w:p w14:paraId="64AD0689" w14:textId="77777777" w:rsidR="00E84F65" w:rsidRPr="00E84F65" w:rsidRDefault="00E84F65" w:rsidP="00E84F65">
      <w:pPr>
        <w:pStyle w:val="Standard"/>
        <w:spacing w:line="500" w:lineRule="exact"/>
        <w:ind w:left="439"/>
        <w:jc w:val="both"/>
        <w:rPr>
          <w:rFonts w:eastAsia="標楷體"/>
          <w:sz w:val="28"/>
        </w:rPr>
      </w:pPr>
      <w:r w:rsidRPr="00E84F65">
        <w:rPr>
          <w:rFonts w:eastAsia="標楷體"/>
          <w:sz w:val="28"/>
        </w:rPr>
        <w:t>參、研究設備及器材</w:t>
      </w:r>
    </w:p>
    <w:p w14:paraId="5CE0A689" w14:textId="77777777" w:rsidR="00E84F65" w:rsidRPr="00E84F65" w:rsidRDefault="00E84F65" w:rsidP="00E84F65">
      <w:pPr>
        <w:pStyle w:val="Standard"/>
        <w:spacing w:line="500" w:lineRule="exact"/>
        <w:ind w:left="439"/>
        <w:jc w:val="both"/>
        <w:rPr>
          <w:rFonts w:eastAsia="標楷體"/>
          <w:sz w:val="28"/>
        </w:rPr>
      </w:pPr>
      <w:r w:rsidRPr="00E84F65">
        <w:rPr>
          <w:rFonts w:eastAsia="標楷體"/>
          <w:sz w:val="28"/>
        </w:rPr>
        <w:t>肆、研究過程或方法</w:t>
      </w:r>
    </w:p>
    <w:p w14:paraId="3161BDC5" w14:textId="77777777" w:rsidR="00E84F65" w:rsidRPr="00E84F65" w:rsidRDefault="00E84F65" w:rsidP="00E84F65">
      <w:pPr>
        <w:pStyle w:val="Standard"/>
        <w:spacing w:line="500" w:lineRule="exact"/>
        <w:ind w:left="439"/>
        <w:jc w:val="both"/>
        <w:rPr>
          <w:rFonts w:eastAsia="標楷體"/>
          <w:sz w:val="28"/>
        </w:rPr>
      </w:pPr>
      <w:r w:rsidRPr="00E84F65">
        <w:rPr>
          <w:rFonts w:eastAsia="標楷體"/>
          <w:sz w:val="28"/>
        </w:rPr>
        <w:t>伍、研究結果</w:t>
      </w:r>
    </w:p>
    <w:p w14:paraId="0DBA0CE8" w14:textId="77777777" w:rsidR="00E84F65" w:rsidRPr="00E84F65" w:rsidRDefault="00E84F65" w:rsidP="00E84F65">
      <w:pPr>
        <w:pStyle w:val="Standard"/>
        <w:spacing w:line="500" w:lineRule="exact"/>
        <w:ind w:left="439"/>
        <w:jc w:val="both"/>
        <w:rPr>
          <w:rFonts w:eastAsia="標楷體"/>
          <w:sz w:val="28"/>
        </w:rPr>
      </w:pPr>
      <w:r w:rsidRPr="00E84F65">
        <w:rPr>
          <w:rFonts w:eastAsia="標楷體"/>
          <w:sz w:val="28"/>
        </w:rPr>
        <w:t>陸、討論</w:t>
      </w:r>
    </w:p>
    <w:p w14:paraId="358DC7B2" w14:textId="77777777" w:rsidR="00E84F65" w:rsidRPr="00E84F65" w:rsidRDefault="00E84F65" w:rsidP="00E84F65">
      <w:pPr>
        <w:pStyle w:val="Standard"/>
        <w:spacing w:line="500" w:lineRule="exact"/>
        <w:ind w:left="439"/>
        <w:jc w:val="both"/>
        <w:rPr>
          <w:rFonts w:eastAsia="標楷體"/>
          <w:sz w:val="28"/>
        </w:rPr>
      </w:pPr>
      <w:r w:rsidRPr="00E84F65">
        <w:rPr>
          <w:rFonts w:eastAsia="標楷體"/>
          <w:sz w:val="28"/>
        </w:rPr>
        <w:t>柒、結論</w:t>
      </w:r>
    </w:p>
    <w:p w14:paraId="1B32BFF9" w14:textId="62176C55" w:rsidR="00E84F65" w:rsidRPr="00E84F65" w:rsidRDefault="00E84F65" w:rsidP="00E84F65">
      <w:pPr>
        <w:pStyle w:val="Standard"/>
        <w:spacing w:line="500" w:lineRule="exact"/>
        <w:ind w:left="439"/>
        <w:jc w:val="both"/>
      </w:pPr>
      <w:r w:rsidRPr="00E84F65">
        <w:rPr>
          <w:rFonts w:eastAsia="標楷體"/>
          <w:sz w:val="28"/>
        </w:rPr>
        <w:t>捌、參考文獻資料</w:t>
      </w:r>
    </w:p>
    <w:p w14:paraId="04FB71CD" w14:textId="77777777" w:rsidR="00E84F65" w:rsidRPr="00E84F65" w:rsidRDefault="00E84F65" w:rsidP="00E84F65">
      <w:pPr>
        <w:pStyle w:val="Standard"/>
        <w:spacing w:line="400" w:lineRule="exact"/>
        <w:ind w:left="200"/>
        <w:jc w:val="both"/>
        <w:rPr>
          <w:rFonts w:eastAsia="標楷體"/>
          <w:sz w:val="28"/>
        </w:rPr>
      </w:pPr>
    </w:p>
    <w:p w14:paraId="3D497DBF" w14:textId="77777777" w:rsidR="00E84F65" w:rsidRPr="00E84F65" w:rsidRDefault="00E84F65" w:rsidP="00E84F65">
      <w:pPr>
        <w:pStyle w:val="Standard"/>
        <w:spacing w:line="400" w:lineRule="exact"/>
        <w:ind w:left="200"/>
        <w:jc w:val="both"/>
        <w:rPr>
          <w:rFonts w:eastAsia="標楷體"/>
          <w:sz w:val="28"/>
        </w:rPr>
      </w:pPr>
      <w:r w:rsidRPr="00E84F65">
        <w:rPr>
          <w:rFonts w:eastAsia="標楷體"/>
          <w:sz w:val="28"/>
        </w:rPr>
        <w:t>※</w:t>
      </w:r>
      <w:r w:rsidRPr="00E84F65">
        <w:rPr>
          <w:rFonts w:eastAsia="標楷體"/>
          <w:sz w:val="28"/>
        </w:rPr>
        <w:t>書寫說明：</w:t>
      </w:r>
    </w:p>
    <w:p w14:paraId="4769CBAC" w14:textId="77777777" w:rsidR="00E84F65" w:rsidRPr="00E84F65" w:rsidRDefault="00E84F65" w:rsidP="00E84F65">
      <w:pPr>
        <w:pStyle w:val="Standard"/>
        <w:spacing w:line="480" w:lineRule="exact"/>
        <w:ind w:left="240" w:hanging="240"/>
        <w:jc w:val="both"/>
        <w:rPr>
          <w:rFonts w:eastAsia="標楷體"/>
        </w:rPr>
      </w:pPr>
      <w:r w:rsidRPr="00E84F65">
        <w:rPr>
          <w:rFonts w:eastAsia="標楷體"/>
        </w:rPr>
        <w:t>1.</w:t>
      </w:r>
      <w:r w:rsidRPr="00E84F65">
        <w:rPr>
          <w:rFonts w:eastAsia="標楷體"/>
        </w:rPr>
        <w:t>作品說明書一律以</w:t>
      </w:r>
      <w:r w:rsidRPr="00E84F65">
        <w:rPr>
          <w:rFonts w:eastAsia="標楷體"/>
        </w:rPr>
        <w:t>A4</w:t>
      </w:r>
      <w:r w:rsidRPr="00E84F65">
        <w:rPr>
          <w:rFonts w:eastAsia="標楷體"/>
        </w:rPr>
        <w:t>大小紙張由左至右打字印刷（或正楷書寫影印）並裝訂成冊。</w:t>
      </w:r>
    </w:p>
    <w:p w14:paraId="40B763AB" w14:textId="77777777" w:rsidR="00E84F65" w:rsidRPr="00E84F65" w:rsidRDefault="00E84F65" w:rsidP="00E84F65">
      <w:pPr>
        <w:pStyle w:val="Standard"/>
        <w:spacing w:line="480" w:lineRule="exact"/>
        <w:ind w:left="240" w:hanging="240"/>
        <w:jc w:val="both"/>
        <w:rPr>
          <w:rFonts w:eastAsia="標楷體"/>
        </w:rPr>
      </w:pPr>
      <w:r w:rsidRPr="00E84F65">
        <w:rPr>
          <w:rFonts w:eastAsia="標楷體"/>
        </w:rPr>
        <w:t>2.</w:t>
      </w:r>
      <w:r w:rsidRPr="00E84F65">
        <w:rPr>
          <w:rFonts w:eastAsia="標楷體"/>
        </w:rPr>
        <w:t>作品說明書內容，總頁數以</w:t>
      </w:r>
      <w:r w:rsidRPr="00E84F65">
        <w:rPr>
          <w:rFonts w:eastAsia="標楷體"/>
        </w:rPr>
        <w:t>30</w:t>
      </w:r>
      <w:r w:rsidRPr="00E84F65">
        <w:rPr>
          <w:rFonts w:eastAsia="標楷體"/>
        </w:rPr>
        <w:t>頁為限（不含封面、封底及目錄）。</w:t>
      </w:r>
    </w:p>
    <w:p w14:paraId="56777D52" w14:textId="77777777" w:rsidR="00E84F65" w:rsidRPr="00E84F65" w:rsidRDefault="00E84F65" w:rsidP="00E84F65">
      <w:pPr>
        <w:pStyle w:val="Standard"/>
        <w:spacing w:line="480" w:lineRule="exact"/>
        <w:jc w:val="both"/>
        <w:rPr>
          <w:rFonts w:eastAsia="標楷體"/>
        </w:rPr>
      </w:pPr>
      <w:r w:rsidRPr="00E84F65">
        <w:rPr>
          <w:rFonts w:eastAsia="標楷體"/>
        </w:rPr>
        <w:t>3.</w:t>
      </w:r>
      <w:r w:rsidRPr="00E84F65">
        <w:rPr>
          <w:rFonts w:eastAsia="標楷體"/>
        </w:rPr>
        <w:t>內容使用標題次序為壹、一、（一）、１、（１）。</w:t>
      </w:r>
    </w:p>
    <w:p w14:paraId="410FA9B3" w14:textId="77777777" w:rsidR="00E84F65" w:rsidRPr="00E84F65" w:rsidRDefault="00E84F65" w:rsidP="00E84F65">
      <w:pPr>
        <w:pStyle w:val="Standard"/>
        <w:spacing w:line="480" w:lineRule="exact"/>
        <w:ind w:left="170" w:hanging="170"/>
        <w:jc w:val="both"/>
      </w:pPr>
      <w:r w:rsidRPr="00E84F65">
        <w:rPr>
          <w:rFonts w:eastAsia="標楷體"/>
        </w:rPr>
        <w:t>4.</w:t>
      </w:r>
      <w:r w:rsidRPr="00E84F65">
        <w:rPr>
          <w:rFonts w:eastAsia="標楷體"/>
        </w:rPr>
        <w:t>原始紀錄本</w:t>
      </w:r>
      <w:r w:rsidRPr="00E84F65">
        <w:rPr>
          <w:rFonts w:eastAsia="標楷體"/>
          <w:szCs w:val="24"/>
        </w:rPr>
        <w:t>（須成冊裝訂）應</w:t>
      </w:r>
      <w:r w:rsidRPr="00E84F65">
        <w:rPr>
          <w:rFonts w:eastAsia="標楷體"/>
        </w:rPr>
        <w:t>攜往評審會場供評審委員審閱，請勿將研究日誌或實驗觀察原始紀錄本正本或影本寄交科教館，科教館將予以退回，不代為轉交評審委員。</w:t>
      </w:r>
    </w:p>
    <w:p w14:paraId="10EE1BFC" w14:textId="77777777" w:rsidR="00E84F65" w:rsidRPr="00E84F65" w:rsidRDefault="00E84F65" w:rsidP="00E84F65">
      <w:pPr>
        <w:pStyle w:val="Standard"/>
        <w:spacing w:line="480" w:lineRule="exact"/>
        <w:ind w:left="180" w:hanging="180"/>
        <w:jc w:val="both"/>
        <w:rPr>
          <w:rFonts w:eastAsia="標楷體"/>
        </w:rPr>
      </w:pPr>
      <w:r w:rsidRPr="00E84F65">
        <w:rPr>
          <w:rFonts w:eastAsia="標楷體"/>
        </w:rPr>
        <w:t>5.</w:t>
      </w:r>
      <w:r w:rsidRPr="00E84F65">
        <w:rPr>
          <w:rFonts w:eastAsia="標楷體"/>
        </w:rPr>
        <w:t>作品說明書自本頁起請勿出現校名、作者、校長及指導教師姓名等，並且照片中不得出現作者或指導教師之臉部，以便密封作業。</w:t>
      </w:r>
    </w:p>
    <w:p w14:paraId="19B451DD" w14:textId="77777777" w:rsidR="00E84F65" w:rsidRPr="00E84F65" w:rsidRDefault="00E84F65" w:rsidP="00E84F65">
      <w:pPr>
        <w:pStyle w:val="Standard"/>
        <w:spacing w:line="480" w:lineRule="exact"/>
        <w:ind w:left="180" w:hanging="180"/>
        <w:jc w:val="both"/>
      </w:pPr>
      <w:r w:rsidRPr="00E84F65">
        <w:rPr>
          <w:rFonts w:eastAsia="標楷體"/>
        </w:rPr>
        <w:t>6.</w:t>
      </w:r>
      <w:r w:rsidRPr="00E84F65">
        <w:rPr>
          <w:rFonts w:eastAsia="標楷體"/>
        </w:rPr>
        <w:t>本作品說明書電腦檔案（</w:t>
      </w:r>
      <w:r w:rsidRPr="00E84F65">
        <w:rPr>
          <w:rFonts w:eastAsia="標楷體"/>
        </w:rPr>
        <w:t>PDF</w:t>
      </w:r>
      <w:r w:rsidRPr="00E84F65">
        <w:rPr>
          <w:rFonts w:eastAsia="標楷體"/>
        </w:rPr>
        <w:t>檔及</w:t>
      </w:r>
      <w:r w:rsidRPr="00E84F65">
        <w:rPr>
          <w:rFonts w:eastAsia="標楷體"/>
        </w:rPr>
        <w:t>WORD</w:t>
      </w:r>
      <w:r w:rsidRPr="00E84F65">
        <w:rPr>
          <w:rFonts w:eastAsia="標楷體"/>
        </w:rPr>
        <w:t>檔，檔案大小限</w:t>
      </w:r>
      <w:r w:rsidRPr="00E84F65">
        <w:rPr>
          <w:rFonts w:eastAsia="標楷體"/>
        </w:rPr>
        <w:t>10M Bytes</w:t>
      </w:r>
      <w:r w:rsidRPr="00E84F65">
        <w:rPr>
          <w:rFonts w:eastAsia="標楷體"/>
        </w:rPr>
        <w:t>以內）應於地方科學展覽會結束後，全國科展送件期限內，由縣市政府教育局或分區主辦單位至國立臺灣科學教育館線上報名網上傳提交並同時郵寄書面作品</w:t>
      </w:r>
      <w:r w:rsidRPr="00E84F65">
        <w:rPr>
          <w:rFonts w:ascii="標楷體" w:eastAsia="標楷體" w:hAnsi="標楷體"/>
        </w:rPr>
        <w:t>說明書一式2份</w:t>
      </w:r>
      <w:r w:rsidRPr="00E84F65">
        <w:rPr>
          <w:rFonts w:eastAsia="標楷體"/>
        </w:rPr>
        <w:t>。如逾期國立臺灣科學教育館無法事先送交評審委員審查，以致影響成績者，概由參展學校或單位負責。</w:t>
      </w:r>
    </w:p>
    <w:p w14:paraId="35B5516B" w14:textId="37A3DA70" w:rsidR="00E84F65" w:rsidRPr="00E84F65" w:rsidRDefault="00E84F65" w:rsidP="00E84F65">
      <w:pPr>
        <w:pStyle w:val="Standard"/>
        <w:spacing w:line="480" w:lineRule="exact"/>
        <w:ind w:left="240" w:hanging="240"/>
        <w:jc w:val="both"/>
        <w:rPr>
          <w:rFonts w:eastAsia="標楷體"/>
        </w:rPr>
        <w:sectPr w:rsidR="00E84F65" w:rsidRPr="00E84F65">
          <w:headerReference w:type="default" r:id="rId9"/>
          <w:footerReference w:type="default" r:id="rId10"/>
          <w:pgSz w:w="11906" w:h="16838"/>
          <w:pgMar w:top="1134" w:right="1134" w:bottom="1134" w:left="1134" w:header="851" w:footer="851" w:gutter="0"/>
          <w:cols w:space="720"/>
        </w:sectPr>
      </w:pPr>
      <w:r w:rsidRPr="00E84F65">
        <w:rPr>
          <w:rFonts w:eastAsia="標楷體"/>
        </w:rPr>
        <w:t>7.</w:t>
      </w:r>
      <w:r w:rsidRPr="00E84F65">
        <w:rPr>
          <w:rFonts w:eastAsia="標楷體"/>
        </w:rPr>
        <w:t>參考資料書寫方式請參考</w:t>
      </w:r>
      <w:r w:rsidRPr="00E84F65">
        <w:rPr>
          <w:rFonts w:eastAsia="標楷體"/>
        </w:rPr>
        <w:t>APA</w:t>
      </w:r>
      <w:r w:rsidRPr="00E84F65">
        <w:rPr>
          <w:rFonts w:eastAsia="標楷體"/>
        </w:rPr>
        <w:t>格式。（詳見附錄）</w:t>
      </w:r>
    </w:p>
    <w:p w14:paraId="08015050" w14:textId="77777777" w:rsidR="00E84F65" w:rsidRPr="00E84F65" w:rsidRDefault="00E84F65" w:rsidP="00E84F65">
      <w:pPr>
        <w:pStyle w:val="Standard"/>
        <w:tabs>
          <w:tab w:val="left" w:pos="2880"/>
        </w:tabs>
        <w:spacing w:line="400" w:lineRule="exact"/>
        <w:rPr>
          <w:rFonts w:eastAsia="標楷體"/>
          <w:sz w:val="28"/>
        </w:rPr>
      </w:pPr>
      <w:r w:rsidRPr="00E84F65">
        <w:rPr>
          <w:rFonts w:eastAsia="標楷體"/>
          <w:sz w:val="28"/>
        </w:rPr>
        <w:lastRenderedPageBreak/>
        <w:t>壹、封面：</w:t>
      </w:r>
    </w:p>
    <w:p w14:paraId="3572C9C1" w14:textId="77777777" w:rsidR="00E84F65" w:rsidRPr="00E84F65" w:rsidRDefault="00E84F65" w:rsidP="00E84F65">
      <w:pPr>
        <w:pStyle w:val="Standard"/>
        <w:spacing w:line="400" w:lineRule="exact"/>
        <w:ind w:left="480"/>
        <w:rPr>
          <w:rFonts w:eastAsia="標楷體"/>
          <w:sz w:val="28"/>
        </w:rPr>
      </w:pPr>
      <w:r w:rsidRPr="00E84F65">
        <w:rPr>
          <w:rFonts w:eastAsia="標楷體"/>
          <w:sz w:val="28"/>
        </w:rPr>
        <w:t>一、版面設定：上、下、左、右各</w:t>
      </w:r>
      <w:r w:rsidRPr="00E84F65">
        <w:rPr>
          <w:rFonts w:eastAsia="標楷體"/>
          <w:sz w:val="28"/>
        </w:rPr>
        <w:t>2cm</w:t>
      </w:r>
    </w:p>
    <w:p w14:paraId="0FB2CFE7" w14:textId="77777777" w:rsidR="00E84F65" w:rsidRPr="00E84F65" w:rsidRDefault="00E84F65" w:rsidP="00E84F65">
      <w:pPr>
        <w:pStyle w:val="Standard"/>
        <w:spacing w:line="400" w:lineRule="exact"/>
        <w:ind w:left="480"/>
        <w:rPr>
          <w:rFonts w:eastAsia="標楷體"/>
          <w:sz w:val="28"/>
        </w:rPr>
      </w:pPr>
      <w:r w:rsidRPr="00E84F65">
        <w:rPr>
          <w:rFonts w:eastAsia="標楷體"/>
          <w:sz w:val="28"/>
        </w:rPr>
        <w:t>二、封面字型：</w:t>
      </w:r>
      <w:r w:rsidRPr="00E84F65">
        <w:rPr>
          <w:rFonts w:eastAsia="標楷體"/>
          <w:sz w:val="28"/>
        </w:rPr>
        <w:t>16</w:t>
      </w:r>
      <w:r w:rsidRPr="00E84F65">
        <w:rPr>
          <w:rFonts w:eastAsia="標楷體"/>
          <w:sz w:val="28"/>
        </w:rPr>
        <w:t>級</w:t>
      </w:r>
    </w:p>
    <w:p w14:paraId="59DE7BC7" w14:textId="77777777" w:rsidR="00E84F65" w:rsidRPr="00E84F65" w:rsidRDefault="00E84F65" w:rsidP="00E84F65">
      <w:pPr>
        <w:pStyle w:val="Standard"/>
        <w:spacing w:line="400" w:lineRule="exact"/>
        <w:rPr>
          <w:rFonts w:eastAsia="標楷體"/>
          <w:sz w:val="28"/>
        </w:rPr>
      </w:pPr>
    </w:p>
    <w:p w14:paraId="473F573C" w14:textId="77777777" w:rsidR="00E84F65" w:rsidRPr="00E84F65" w:rsidRDefault="00E84F65" w:rsidP="00E84F65">
      <w:pPr>
        <w:pStyle w:val="Standard"/>
        <w:spacing w:line="400" w:lineRule="exact"/>
        <w:rPr>
          <w:rFonts w:eastAsia="標楷體"/>
          <w:sz w:val="28"/>
        </w:rPr>
      </w:pPr>
      <w:r w:rsidRPr="00E84F65">
        <w:rPr>
          <w:rFonts w:eastAsia="標楷體"/>
          <w:sz w:val="28"/>
        </w:rPr>
        <w:t>貳、內頁：</w:t>
      </w:r>
    </w:p>
    <w:p w14:paraId="64027FBF" w14:textId="77777777" w:rsidR="00E84F65" w:rsidRPr="00E84F65" w:rsidRDefault="00E84F65" w:rsidP="00E84F65">
      <w:pPr>
        <w:pStyle w:val="Standard"/>
        <w:spacing w:line="400" w:lineRule="exact"/>
        <w:ind w:left="480"/>
        <w:rPr>
          <w:rFonts w:eastAsia="標楷體"/>
          <w:sz w:val="28"/>
        </w:rPr>
      </w:pPr>
      <w:r w:rsidRPr="00E84F65">
        <w:rPr>
          <w:rFonts w:eastAsia="標楷體"/>
          <w:sz w:val="28"/>
        </w:rPr>
        <w:t>一、版面設定：上、下、左、右各</w:t>
      </w:r>
      <w:r w:rsidRPr="00E84F65">
        <w:rPr>
          <w:rFonts w:eastAsia="標楷體"/>
          <w:sz w:val="28"/>
        </w:rPr>
        <w:t>2cm</w:t>
      </w:r>
    </w:p>
    <w:p w14:paraId="4EEBB241" w14:textId="77777777" w:rsidR="00E84F65" w:rsidRPr="00E84F65" w:rsidRDefault="00E84F65" w:rsidP="00E84F65">
      <w:pPr>
        <w:pStyle w:val="Standard"/>
        <w:spacing w:line="400" w:lineRule="exact"/>
        <w:ind w:left="480"/>
        <w:rPr>
          <w:rFonts w:eastAsia="標楷體"/>
          <w:sz w:val="28"/>
        </w:rPr>
      </w:pPr>
      <w:r w:rsidRPr="00E84F65">
        <w:rPr>
          <w:rFonts w:eastAsia="標楷體"/>
          <w:sz w:val="28"/>
        </w:rPr>
        <w:t>二、字型：新細明體</w:t>
      </w:r>
    </w:p>
    <w:p w14:paraId="432248B8" w14:textId="77777777" w:rsidR="00E84F65" w:rsidRPr="00E84F65" w:rsidRDefault="00E84F65" w:rsidP="00E84F65">
      <w:pPr>
        <w:pStyle w:val="Standard"/>
        <w:spacing w:line="400" w:lineRule="exact"/>
        <w:ind w:left="480"/>
      </w:pPr>
      <w:r w:rsidRPr="00E84F65">
        <w:rPr>
          <w:rFonts w:eastAsia="標楷體"/>
          <w:sz w:val="28"/>
        </w:rPr>
        <w:t>三</w:t>
      </w:r>
      <w:r w:rsidRPr="00E84F65">
        <w:rPr>
          <w:rFonts w:ascii="標楷體" w:eastAsia="標楷體" w:hAnsi="標楷體"/>
          <w:sz w:val="28"/>
        </w:rPr>
        <w:t>、行距：</w:t>
      </w:r>
      <w:r w:rsidRPr="00E84F65">
        <w:rPr>
          <w:rFonts w:ascii="標楷體" w:eastAsia="標楷體" w:hAnsi="標楷體"/>
          <w:sz w:val="28"/>
          <w:lang w:eastAsia="zh-HK"/>
        </w:rPr>
        <w:t>建議</w:t>
      </w:r>
      <w:r w:rsidRPr="00E84F65">
        <w:rPr>
          <w:rFonts w:ascii="標楷體" w:eastAsia="標楷體" w:hAnsi="標楷體"/>
          <w:sz w:val="28"/>
        </w:rPr>
        <w:t xml:space="preserve"> 1.5倍行高</w:t>
      </w:r>
    </w:p>
    <w:p w14:paraId="154CA445" w14:textId="77777777" w:rsidR="00E84F65" w:rsidRPr="00E84F65" w:rsidRDefault="00E84F65" w:rsidP="00E84F65">
      <w:pPr>
        <w:pStyle w:val="Standard"/>
        <w:spacing w:line="400" w:lineRule="exact"/>
        <w:ind w:left="480"/>
        <w:rPr>
          <w:rFonts w:eastAsia="標楷體"/>
          <w:sz w:val="28"/>
        </w:rPr>
      </w:pPr>
      <w:r w:rsidRPr="00E84F65">
        <w:rPr>
          <w:rFonts w:eastAsia="標楷體"/>
          <w:sz w:val="28"/>
        </w:rPr>
        <w:t>四、主題字級：</w:t>
      </w:r>
      <w:r w:rsidRPr="00E84F65">
        <w:rPr>
          <w:rFonts w:eastAsia="標楷體"/>
          <w:sz w:val="28"/>
        </w:rPr>
        <w:t>16</w:t>
      </w:r>
      <w:r w:rsidRPr="00E84F65">
        <w:rPr>
          <w:rFonts w:eastAsia="標楷體"/>
          <w:sz w:val="28"/>
        </w:rPr>
        <w:t>級粗體、置中</w:t>
      </w:r>
    </w:p>
    <w:p w14:paraId="3846B459" w14:textId="77777777" w:rsidR="00E84F65" w:rsidRPr="00E84F65" w:rsidRDefault="00E84F65" w:rsidP="00E84F65">
      <w:pPr>
        <w:pStyle w:val="Standard"/>
        <w:spacing w:line="400" w:lineRule="exact"/>
        <w:ind w:left="480"/>
        <w:rPr>
          <w:rFonts w:eastAsia="標楷體"/>
          <w:sz w:val="28"/>
        </w:rPr>
      </w:pPr>
      <w:r w:rsidRPr="00E84F65">
        <w:rPr>
          <w:rFonts w:eastAsia="標楷體"/>
          <w:sz w:val="28"/>
        </w:rPr>
        <w:t>五、內文字級：</w:t>
      </w:r>
      <w:r w:rsidRPr="00E84F65">
        <w:rPr>
          <w:rFonts w:eastAsia="標楷體"/>
          <w:sz w:val="28"/>
        </w:rPr>
        <w:t>12</w:t>
      </w:r>
      <w:r w:rsidRPr="00E84F65">
        <w:rPr>
          <w:rFonts w:eastAsia="標楷體"/>
          <w:sz w:val="28"/>
        </w:rPr>
        <w:t>級</w:t>
      </w:r>
    </w:p>
    <w:p w14:paraId="0B81868A" w14:textId="77777777" w:rsidR="00E84F65" w:rsidRPr="00E84F65" w:rsidRDefault="00E84F65" w:rsidP="00E84F65">
      <w:pPr>
        <w:pStyle w:val="Standard"/>
        <w:spacing w:line="400" w:lineRule="exact"/>
        <w:ind w:left="480"/>
        <w:rPr>
          <w:rFonts w:eastAsia="標楷體"/>
          <w:sz w:val="28"/>
        </w:rPr>
      </w:pPr>
      <w:r w:rsidRPr="00E84F65">
        <w:rPr>
          <w:rFonts w:eastAsia="標楷體"/>
          <w:sz w:val="28"/>
        </w:rPr>
        <w:t>六、項目符號順序：</w:t>
      </w:r>
      <w:r w:rsidRPr="00E84F65">
        <w:rPr>
          <w:rFonts w:eastAsia="標楷體"/>
          <w:sz w:val="28"/>
        </w:rPr>
        <w:t xml:space="preserve"> </w:t>
      </w:r>
      <w:r w:rsidRPr="00E84F65">
        <w:rPr>
          <w:rFonts w:eastAsia="標楷體"/>
          <w:sz w:val="28"/>
        </w:rPr>
        <w:br/>
      </w:r>
      <w:r w:rsidRPr="00E84F65">
        <w:rPr>
          <w:rFonts w:eastAsia="標楷體"/>
          <w:sz w:val="28"/>
        </w:rPr>
        <w:t>例：</w:t>
      </w:r>
    </w:p>
    <w:tbl>
      <w:tblPr>
        <w:tblW w:w="4920" w:type="dxa"/>
        <w:tblInd w:w="1081" w:type="dxa"/>
        <w:tblLayout w:type="fixed"/>
        <w:tblCellMar>
          <w:left w:w="10" w:type="dxa"/>
          <w:right w:w="10" w:type="dxa"/>
        </w:tblCellMar>
        <w:tblLook w:val="04A0" w:firstRow="1" w:lastRow="0" w:firstColumn="1" w:lastColumn="0" w:noHBand="0" w:noVBand="1"/>
      </w:tblPr>
      <w:tblGrid>
        <w:gridCol w:w="4920"/>
      </w:tblGrid>
      <w:tr w:rsidR="00E84F65" w:rsidRPr="00E84F65" w14:paraId="4F2B4BA9" w14:textId="77777777" w:rsidTr="00E84F65">
        <w:tc>
          <w:tcPr>
            <w:tcW w:w="4920" w:type="dxa"/>
            <w:tcMar>
              <w:top w:w="0" w:type="dxa"/>
              <w:left w:w="108" w:type="dxa"/>
              <w:bottom w:w="0" w:type="dxa"/>
              <w:right w:w="108" w:type="dxa"/>
            </w:tcMar>
          </w:tcPr>
          <w:p w14:paraId="03130533" w14:textId="77777777" w:rsidR="00E84F65" w:rsidRPr="00E84F65" w:rsidRDefault="00E84F65" w:rsidP="00E84F65">
            <w:pPr>
              <w:pStyle w:val="Standard"/>
              <w:numPr>
                <w:ilvl w:val="0"/>
                <w:numId w:val="2"/>
              </w:numPr>
              <w:spacing w:line="400" w:lineRule="exact"/>
              <w:rPr>
                <w:rFonts w:eastAsia="標楷體"/>
                <w:sz w:val="28"/>
              </w:rPr>
            </w:pPr>
            <w:r w:rsidRPr="00E84F65">
              <w:rPr>
                <w:rFonts w:eastAsia="標楷體"/>
                <w:sz w:val="28"/>
              </w:rPr>
              <w:t>XXXXXXX</w:t>
            </w:r>
          </w:p>
          <w:p w14:paraId="0BBB1753" w14:textId="77777777" w:rsidR="00E84F65" w:rsidRPr="00E84F65" w:rsidRDefault="00E84F65" w:rsidP="00E84F65">
            <w:pPr>
              <w:pStyle w:val="Standard"/>
              <w:numPr>
                <w:ilvl w:val="1"/>
                <w:numId w:val="1"/>
              </w:numPr>
              <w:spacing w:line="400" w:lineRule="exact"/>
              <w:rPr>
                <w:rFonts w:eastAsia="標楷體"/>
                <w:sz w:val="28"/>
              </w:rPr>
            </w:pPr>
            <w:r w:rsidRPr="00E84F65">
              <w:rPr>
                <w:rFonts w:eastAsia="標楷體"/>
                <w:sz w:val="28"/>
              </w:rPr>
              <w:t>XXXXXXX</w:t>
            </w:r>
          </w:p>
          <w:p w14:paraId="237A7B8F" w14:textId="77777777" w:rsidR="00E84F65" w:rsidRPr="00E84F65" w:rsidRDefault="00E84F65" w:rsidP="00E84F65">
            <w:pPr>
              <w:pStyle w:val="Standard"/>
              <w:spacing w:line="400" w:lineRule="exact"/>
              <w:ind w:left="720"/>
              <w:rPr>
                <w:rFonts w:eastAsia="標楷體"/>
                <w:sz w:val="28"/>
              </w:rPr>
            </w:pPr>
            <w:r w:rsidRPr="00E84F65">
              <w:rPr>
                <w:rFonts w:eastAsia="標楷體"/>
                <w:sz w:val="28"/>
              </w:rPr>
              <w:t>(</w:t>
            </w:r>
            <w:r w:rsidRPr="00E84F65">
              <w:rPr>
                <w:rFonts w:eastAsia="標楷體"/>
                <w:sz w:val="28"/>
              </w:rPr>
              <w:t>一</w:t>
            </w:r>
            <w:r w:rsidRPr="00E84F65">
              <w:rPr>
                <w:rFonts w:eastAsia="標楷體"/>
                <w:sz w:val="28"/>
              </w:rPr>
              <w:t>) XXXXXXX</w:t>
            </w:r>
          </w:p>
          <w:p w14:paraId="2CE2F475" w14:textId="77777777" w:rsidR="00E84F65" w:rsidRPr="00E84F65" w:rsidRDefault="00E84F65" w:rsidP="00E84F65">
            <w:pPr>
              <w:pStyle w:val="Standard"/>
              <w:spacing w:line="400" w:lineRule="exact"/>
              <w:ind w:left="1200"/>
              <w:rPr>
                <w:rFonts w:eastAsia="標楷體"/>
                <w:sz w:val="28"/>
              </w:rPr>
            </w:pPr>
            <w:r w:rsidRPr="00E84F65">
              <w:rPr>
                <w:rFonts w:eastAsia="標楷體"/>
                <w:sz w:val="28"/>
              </w:rPr>
              <w:t>1. XXXXXX</w:t>
            </w:r>
          </w:p>
          <w:p w14:paraId="19C8FD18" w14:textId="77777777" w:rsidR="00E84F65" w:rsidRPr="00E84F65" w:rsidRDefault="00E84F65" w:rsidP="00E84F65">
            <w:pPr>
              <w:pStyle w:val="Standard"/>
              <w:spacing w:line="400" w:lineRule="exact"/>
              <w:ind w:left="1440"/>
              <w:rPr>
                <w:rFonts w:eastAsia="標楷體"/>
                <w:sz w:val="28"/>
              </w:rPr>
            </w:pPr>
            <w:r w:rsidRPr="00E84F65">
              <w:rPr>
                <w:rFonts w:eastAsia="標楷體"/>
                <w:sz w:val="28"/>
              </w:rPr>
              <w:t>(1) XXXXXX</w:t>
            </w:r>
          </w:p>
          <w:p w14:paraId="4EA22F9D" w14:textId="77777777" w:rsidR="00E84F65" w:rsidRPr="00E84F65" w:rsidRDefault="00E84F65" w:rsidP="00E84F65">
            <w:pPr>
              <w:pStyle w:val="Standard"/>
              <w:numPr>
                <w:ilvl w:val="0"/>
                <w:numId w:val="1"/>
              </w:numPr>
              <w:spacing w:line="400" w:lineRule="exact"/>
              <w:rPr>
                <w:rFonts w:eastAsia="標楷體"/>
                <w:sz w:val="28"/>
              </w:rPr>
            </w:pPr>
            <w:r w:rsidRPr="00E84F65">
              <w:rPr>
                <w:rFonts w:eastAsia="標楷體"/>
                <w:sz w:val="28"/>
              </w:rPr>
              <w:t>OOOOOOOO</w:t>
            </w:r>
          </w:p>
          <w:p w14:paraId="3F096A79" w14:textId="77777777" w:rsidR="00E84F65" w:rsidRPr="00E84F65" w:rsidRDefault="00E84F65" w:rsidP="00E84F65">
            <w:pPr>
              <w:pStyle w:val="Standard"/>
              <w:numPr>
                <w:ilvl w:val="1"/>
                <w:numId w:val="1"/>
              </w:numPr>
              <w:spacing w:line="400" w:lineRule="exact"/>
              <w:rPr>
                <w:rFonts w:eastAsia="標楷體"/>
                <w:sz w:val="28"/>
              </w:rPr>
            </w:pPr>
            <w:r w:rsidRPr="00E84F65">
              <w:rPr>
                <w:rFonts w:eastAsia="標楷體"/>
                <w:sz w:val="28"/>
              </w:rPr>
              <w:t>OOOOOOO</w:t>
            </w:r>
          </w:p>
          <w:p w14:paraId="67466A3D" w14:textId="77777777" w:rsidR="00E84F65" w:rsidRPr="00E84F65" w:rsidRDefault="00E84F65" w:rsidP="00E84F65">
            <w:pPr>
              <w:pStyle w:val="Standard"/>
              <w:spacing w:line="400" w:lineRule="exact"/>
              <w:ind w:left="720"/>
              <w:rPr>
                <w:rFonts w:eastAsia="標楷體"/>
                <w:sz w:val="28"/>
              </w:rPr>
            </w:pPr>
            <w:r w:rsidRPr="00E84F65">
              <w:rPr>
                <w:rFonts w:eastAsia="標楷體"/>
                <w:sz w:val="28"/>
              </w:rPr>
              <w:t>(</w:t>
            </w:r>
            <w:r w:rsidRPr="00E84F65">
              <w:rPr>
                <w:rFonts w:eastAsia="標楷體"/>
                <w:sz w:val="28"/>
              </w:rPr>
              <w:t>一</w:t>
            </w:r>
            <w:r w:rsidRPr="00E84F65">
              <w:rPr>
                <w:rFonts w:eastAsia="標楷體"/>
                <w:sz w:val="28"/>
              </w:rPr>
              <w:t>) XXXXXXX</w:t>
            </w:r>
          </w:p>
          <w:p w14:paraId="13668E8A" w14:textId="77777777" w:rsidR="00E84F65" w:rsidRPr="00E84F65" w:rsidRDefault="00E84F65" w:rsidP="00E84F65">
            <w:pPr>
              <w:pStyle w:val="Standard"/>
              <w:spacing w:line="400" w:lineRule="exact"/>
              <w:ind w:left="1200"/>
              <w:rPr>
                <w:rFonts w:eastAsia="標楷體"/>
                <w:sz w:val="28"/>
              </w:rPr>
            </w:pPr>
            <w:r w:rsidRPr="00E84F65">
              <w:rPr>
                <w:rFonts w:eastAsia="標楷體"/>
                <w:sz w:val="28"/>
              </w:rPr>
              <w:t>1. OOOOOO</w:t>
            </w:r>
          </w:p>
          <w:p w14:paraId="6076F895" w14:textId="77777777" w:rsidR="00E84F65" w:rsidRPr="00E84F65" w:rsidRDefault="00E84F65" w:rsidP="00E84F65">
            <w:pPr>
              <w:pStyle w:val="Standard"/>
              <w:spacing w:line="400" w:lineRule="exact"/>
              <w:ind w:left="1440"/>
              <w:rPr>
                <w:rFonts w:eastAsia="標楷體"/>
                <w:sz w:val="28"/>
              </w:rPr>
            </w:pPr>
            <w:r w:rsidRPr="00E84F65">
              <w:rPr>
                <w:rFonts w:eastAsia="標楷體"/>
                <w:sz w:val="28"/>
              </w:rPr>
              <w:t>(1) OOOOOOO</w:t>
            </w:r>
          </w:p>
        </w:tc>
      </w:tr>
    </w:tbl>
    <w:p w14:paraId="4B0282F0" w14:textId="77777777" w:rsidR="00E84F65" w:rsidRPr="00E84F65" w:rsidRDefault="00E84F65" w:rsidP="00E84F65">
      <w:pPr>
        <w:pStyle w:val="Standard"/>
        <w:spacing w:line="400" w:lineRule="exact"/>
        <w:rPr>
          <w:rFonts w:eastAsia="標楷體"/>
          <w:sz w:val="28"/>
        </w:rPr>
      </w:pPr>
    </w:p>
    <w:p w14:paraId="3A660449" w14:textId="77777777" w:rsidR="00E84F65" w:rsidRPr="00E84F65" w:rsidRDefault="00E84F65" w:rsidP="00E84F65">
      <w:pPr>
        <w:pStyle w:val="Standard"/>
        <w:spacing w:line="400" w:lineRule="exact"/>
        <w:rPr>
          <w:rFonts w:eastAsia="標楷體"/>
          <w:sz w:val="28"/>
        </w:rPr>
      </w:pPr>
      <w:r w:rsidRPr="00E84F65">
        <w:rPr>
          <w:rFonts w:eastAsia="標楷體"/>
          <w:sz w:val="28"/>
        </w:rPr>
        <w:t>參、對齊點：使用定位點對齊或表格對齊</w:t>
      </w:r>
    </w:p>
    <w:p w14:paraId="76BF28DA" w14:textId="77777777" w:rsidR="00E84F65" w:rsidRPr="00E84F65" w:rsidRDefault="00E84F65" w:rsidP="00E84F65">
      <w:pPr>
        <w:pStyle w:val="Standard"/>
        <w:spacing w:line="400" w:lineRule="exact"/>
        <w:ind w:left="480"/>
        <w:rPr>
          <w:rFonts w:eastAsia="標楷體"/>
          <w:sz w:val="28"/>
        </w:rPr>
      </w:pPr>
      <w:r w:rsidRPr="00E84F65">
        <w:rPr>
          <w:rFonts w:eastAsia="標楷體"/>
          <w:sz w:val="28"/>
        </w:rPr>
        <w:t>一、定位點</w:t>
      </w:r>
    </w:p>
    <w:p w14:paraId="1E8F2636" w14:textId="77777777" w:rsidR="00E84F65" w:rsidRPr="00E84F65" w:rsidRDefault="00E84F65" w:rsidP="00E84F65">
      <w:pPr>
        <w:pStyle w:val="Standard"/>
        <w:tabs>
          <w:tab w:val="left" w:pos="960"/>
          <w:tab w:val="left" w:pos="3840"/>
        </w:tabs>
        <w:spacing w:line="400" w:lineRule="exact"/>
        <w:rPr>
          <w:rFonts w:eastAsia="標楷體"/>
          <w:sz w:val="28"/>
        </w:rPr>
      </w:pPr>
      <w:r w:rsidRPr="00E84F65">
        <w:rPr>
          <w:rFonts w:eastAsia="標楷體"/>
          <w:sz w:val="28"/>
        </w:rPr>
        <w:tab/>
        <w:t>AAAAAAA</w:t>
      </w:r>
      <w:r w:rsidRPr="00E84F65">
        <w:rPr>
          <w:rFonts w:eastAsia="標楷體"/>
          <w:sz w:val="28"/>
        </w:rPr>
        <w:tab/>
        <w:t>BBBBBBBB</w:t>
      </w:r>
    </w:p>
    <w:p w14:paraId="74B9B88F" w14:textId="77777777" w:rsidR="00E84F65" w:rsidRPr="00E84F65" w:rsidRDefault="00E84F65" w:rsidP="00E84F65">
      <w:pPr>
        <w:pStyle w:val="Standard"/>
        <w:tabs>
          <w:tab w:val="left" w:pos="960"/>
          <w:tab w:val="left" w:pos="3840"/>
        </w:tabs>
        <w:spacing w:line="400" w:lineRule="exact"/>
        <w:rPr>
          <w:rFonts w:eastAsia="標楷體"/>
          <w:sz w:val="28"/>
        </w:rPr>
      </w:pPr>
      <w:r w:rsidRPr="00E84F65">
        <w:rPr>
          <w:rFonts w:eastAsia="標楷體"/>
          <w:sz w:val="28"/>
        </w:rPr>
        <w:tab/>
        <w:t>CCCCCCC</w:t>
      </w:r>
      <w:r w:rsidRPr="00E84F65">
        <w:rPr>
          <w:rFonts w:eastAsia="標楷體"/>
          <w:sz w:val="28"/>
        </w:rPr>
        <w:tab/>
        <w:t>DDDDDDD</w:t>
      </w:r>
    </w:p>
    <w:p w14:paraId="13EA4914" w14:textId="77777777" w:rsidR="00E84F65" w:rsidRPr="00E84F65" w:rsidRDefault="00E84F65" w:rsidP="00E84F65">
      <w:pPr>
        <w:pStyle w:val="Standard"/>
        <w:spacing w:line="400" w:lineRule="exact"/>
        <w:ind w:left="480"/>
        <w:rPr>
          <w:rFonts w:eastAsia="標楷體"/>
          <w:sz w:val="28"/>
        </w:rPr>
      </w:pPr>
      <w:r w:rsidRPr="00E84F65">
        <w:rPr>
          <w:rFonts w:eastAsia="標楷體"/>
          <w:sz w:val="28"/>
        </w:rPr>
        <w:t>二、表格</w:t>
      </w:r>
    </w:p>
    <w:tbl>
      <w:tblPr>
        <w:tblW w:w="5040" w:type="dxa"/>
        <w:tblInd w:w="840" w:type="dxa"/>
        <w:tblLayout w:type="fixed"/>
        <w:tblCellMar>
          <w:left w:w="10" w:type="dxa"/>
          <w:right w:w="10" w:type="dxa"/>
        </w:tblCellMar>
        <w:tblLook w:val="04A0" w:firstRow="1" w:lastRow="0" w:firstColumn="1" w:lastColumn="0" w:noHBand="0" w:noVBand="1"/>
      </w:tblPr>
      <w:tblGrid>
        <w:gridCol w:w="2879"/>
        <w:gridCol w:w="2161"/>
      </w:tblGrid>
      <w:tr w:rsidR="00E84F65" w:rsidRPr="00E84F65" w14:paraId="43E11E0D" w14:textId="77777777" w:rsidTr="00E84F65">
        <w:tc>
          <w:tcPr>
            <w:tcW w:w="2879" w:type="dxa"/>
            <w:tcMar>
              <w:top w:w="0" w:type="dxa"/>
              <w:left w:w="108" w:type="dxa"/>
              <w:bottom w:w="0" w:type="dxa"/>
              <w:right w:w="108" w:type="dxa"/>
            </w:tcMar>
          </w:tcPr>
          <w:p w14:paraId="1E0232F3" w14:textId="77777777" w:rsidR="00E84F65" w:rsidRPr="00E84F65" w:rsidRDefault="00E84F65" w:rsidP="00E84F65">
            <w:pPr>
              <w:pStyle w:val="Standard"/>
              <w:spacing w:line="400" w:lineRule="exact"/>
              <w:rPr>
                <w:rFonts w:eastAsia="標楷體"/>
                <w:sz w:val="28"/>
              </w:rPr>
            </w:pPr>
            <w:r w:rsidRPr="00E84F65">
              <w:rPr>
                <w:rFonts w:eastAsia="標楷體"/>
                <w:sz w:val="28"/>
              </w:rPr>
              <w:t>AAAAAA</w:t>
            </w:r>
          </w:p>
        </w:tc>
        <w:tc>
          <w:tcPr>
            <w:tcW w:w="2161" w:type="dxa"/>
            <w:tcMar>
              <w:top w:w="0" w:type="dxa"/>
              <w:left w:w="108" w:type="dxa"/>
              <w:bottom w:w="0" w:type="dxa"/>
              <w:right w:w="108" w:type="dxa"/>
            </w:tcMar>
          </w:tcPr>
          <w:p w14:paraId="55694DF9" w14:textId="77777777" w:rsidR="00E84F65" w:rsidRPr="00E84F65" w:rsidRDefault="00E84F65" w:rsidP="00E84F65">
            <w:pPr>
              <w:pStyle w:val="Standard"/>
              <w:spacing w:line="400" w:lineRule="exact"/>
              <w:rPr>
                <w:rFonts w:eastAsia="標楷體"/>
                <w:sz w:val="28"/>
              </w:rPr>
            </w:pPr>
            <w:r w:rsidRPr="00E84F65">
              <w:rPr>
                <w:rFonts w:eastAsia="標楷體"/>
                <w:sz w:val="28"/>
              </w:rPr>
              <w:t>BBBBBBB</w:t>
            </w:r>
          </w:p>
        </w:tc>
      </w:tr>
      <w:tr w:rsidR="00E84F65" w:rsidRPr="00E84F65" w14:paraId="4DEC5DE4" w14:textId="77777777" w:rsidTr="00E84F65">
        <w:tc>
          <w:tcPr>
            <w:tcW w:w="2879" w:type="dxa"/>
            <w:tcMar>
              <w:top w:w="0" w:type="dxa"/>
              <w:left w:w="108" w:type="dxa"/>
              <w:bottom w:w="0" w:type="dxa"/>
              <w:right w:w="108" w:type="dxa"/>
            </w:tcMar>
          </w:tcPr>
          <w:p w14:paraId="2E4AB556" w14:textId="77777777" w:rsidR="00E84F65" w:rsidRPr="00E84F65" w:rsidRDefault="00E84F65" w:rsidP="00E84F65">
            <w:pPr>
              <w:pStyle w:val="Standard"/>
              <w:spacing w:line="400" w:lineRule="exact"/>
              <w:rPr>
                <w:rFonts w:eastAsia="標楷體"/>
                <w:sz w:val="28"/>
              </w:rPr>
            </w:pPr>
            <w:r w:rsidRPr="00E84F65">
              <w:rPr>
                <w:rFonts w:eastAsia="標楷體"/>
                <w:sz w:val="28"/>
              </w:rPr>
              <w:t>CCCCCCC</w:t>
            </w:r>
          </w:p>
        </w:tc>
        <w:tc>
          <w:tcPr>
            <w:tcW w:w="2161" w:type="dxa"/>
            <w:tcMar>
              <w:top w:w="0" w:type="dxa"/>
              <w:left w:w="108" w:type="dxa"/>
              <w:bottom w:w="0" w:type="dxa"/>
              <w:right w:w="108" w:type="dxa"/>
            </w:tcMar>
          </w:tcPr>
          <w:p w14:paraId="031B6B34" w14:textId="77777777" w:rsidR="00E84F65" w:rsidRPr="00E84F65" w:rsidRDefault="00E84F65" w:rsidP="00E84F65">
            <w:pPr>
              <w:pStyle w:val="Standard"/>
              <w:spacing w:line="400" w:lineRule="exact"/>
              <w:rPr>
                <w:rFonts w:eastAsia="標楷體"/>
                <w:sz w:val="28"/>
              </w:rPr>
            </w:pPr>
            <w:r w:rsidRPr="00E84F65">
              <w:rPr>
                <w:rFonts w:eastAsia="標楷體"/>
                <w:sz w:val="28"/>
              </w:rPr>
              <w:t>DDDDDDD</w:t>
            </w:r>
          </w:p>
        </w:tc>
      </w:tr>
    </w:tbl>
    <w:p w14:paraId="7FDACFEA" w14:textId="77777777" w:rsidR="00E84F65" w:rsidRPr="00E84F65" w:rsidRDefault="00E84F65" w:rsidP="00E84F65">
      <w:pPr>
        <w:pStyle w:val="Standard"/>
        <w:spacing w:line="380" w:lineRule="exact"/>
        <w:ind w:firstLine="142"/>
        <w:jc w:val="both"/>
        <w:rPr>
          <w:rFonts w:eastAsia="標楷體"/>
          <w:sz w:val="28"/>
        </w:rPr>
      </w:pPr>
    </w:p>
    <w:p w14:paraId="08673DEB" w14:textId="77777777" w:rsidR="00E84F65" w:rsidRPr="00E84F65" w:rsidRDefault="00E84F65" w:rsidP="00E84F65">
      <w:pPr>
        <w:pStyle w:val="Standard"/>
        <w:spacing w:line="300" w:lineRule="exact"/>
        <w:ind w:firstLine="142"/>
        <w:jc w:val="both"/>
      </w:pPr>
      <w:r w:rsidRPr="00E84F65">
        <w:rPr>
          <w:rFonts w:eastAsia="標楷體"/>
          <w:sz w:val="28"/>
        </w:rPr>
        <w:t>肆</w:t>
      </w:r>
      <w:r w:rsidRPr="00E84F65">
        <w:rPr>
          <w:rFonts w:ascii="標楷體" w:eastAsia="標楷體" w:hAnsi="標楷體"/>
          <w:sz w:val="28"/>
        </w:rPr>
        <w:t>、</w:t>
      </w:r>
      <w:r w:rsidRPr="00E84F65">
        <w:rPr>
          <w:rFonts w:ascii="標楷體" w:eastAsia="標楷體" w:hAnsi="標楷體" w:cs="標楷體"/>
          <w:sz w:val="28"/>
          <w:szCs w:val="28"/>
          <w:lang w:val="zh-TW"/>
        </w:rPr>
        <w:t>電子檔：</w:t>
      </w:r>
    </w:p>
    <w:p w14:paraId="7BBF2839" w14:textId="77777777" w:rsidR="00E84F65" w:rsidRPr="00E84F65" w:rsidRDefault="00E84F65" w:rsidP="00E84F65">
      <w:pPr>
        <w:pStyle w:val="Standard"/>
        <w:spacing w:line="300" w:lineRule="exact"/>
        <w:ind w:firstLine="142"/>
        <w:jc w:val="both"/>
        <w:rPr>
          <w:rFonts w:ascii="標楷體" w:eastAsia="標楷體" w:hAnsi="標楷體" w:cs="標楷體"/>
          <w:sz w:val="28"/>
          <w:szCs w:val="28"/>
          <w:lang w:val="zh-TW"/>
        </w:rPr>
      </w:pPr>
      <w:r w:rsidRPr="00E84F65">
        <w:rPr>
          <w:rFonts w:ascii="標楷體" w:eastAsia="標楷體" w:hAnsi="標楷體" w:cs="標楷體"/>
          <w:sz w:val="28"/>
          <w:szCs w:val="28"/>
          <w:lang w:val="zh-TW"/>
        </w:rPr>
        <w:t xml:space="preserve">   一、文字與圖表及封面須排版完成於1個檔案中。</w:t>
      </w:r>
    </w:p>
    <w:p w14:paraId="6F771A53" w14:textId="77777777" w:rsidR="00E84F65" w:rsidRPr="00E84F65" w:rsidRDefault="00E84F65" w:rsidP="00E84F65">
      <w:pPr>
        <w:pStyle w:val="Standard"/>
        <w:spacing w:line="300" w:lineRule="exact"/>
        <w:ind w:firstLine="567"/>
        <w:jc w:val="both"/>
      </w:pPr>
      <w:r w:rsidRPr="00E84F65">
        <w:rPr>
          <w:rFonts w:ascii="標楷體" w:eastAsia="標楷體" w:hAnsi="標楷體" w:cs="標楷體"/>
          <w:sz w:val="28"/>
          <w:szCs w:val="28"/>
          <w:lang w:val="zh-TW"/>
        </w:rPr>
        <w:t>二、以WORD文件檔（</w:t>
      </w:r>
      <w:r w:rsidRPr="00E84F65">
        <w:rPr>
          <w:rFonts w:ascii="標楷體" w:eastAsia="標楷體" w:hAnsi="標楷體" w:cs="標楷體"/>
          <w:sz w:val="28"/>
          <w:szCs w:val="28"/>
          <w:vertAlign w:val="superscript"/>
          <w:lang w:val="zh-TW"/>
        </w:rPr>
        <w:t>﹡</w:t>
      </w:r>
      <w:r w:rsidRPr="00E84F65">
        <w:rPr>
          <w:rFonts w:ascii="標楷體" w:eastAsia="標楷體" w:hAnsi="標楷體" w:cs="標楷體"/>
          <w:sz w:val="28"/>
          <w:szCs w:val="28"/>
          <w:lang w:val="zh-TW"/>
        </w:rPr>
        <w:t>DOC或</w:t>
      </w:r>
      <w:r w:rsidRPr="00E84F65">
        <w:rPr>
          <w:rFonts w:ascii="標楷體" w:eastAsia="標楷體" w:hAnsi="標楷體" w:cs="標楷體"/>
          <w:sz w:val="28"/>
          <w:szCs w:val="28"/>
          <w:vertAlign w:val="superscript"/>
          <w:lang w:val="zh-TW"/>
        </w:rPr>
        <w:t>﹡</w:t>
      </w:r>
      <w:r w:rsidRPr="00E84F65">
        <w:rPr>
          <w:rFonts w:ascii="標楷體" w:eastAsia="標楷體" w:hAnsi="標楷體" w:cs="標楷體"/>
          <w:sz w:val="28"/>
          <w:szCs w:val="28"/>
          <w:lang w:val="zh-TW"/>
        </w:rPr>
        <w:t>DOCX）及PDF圖檔為限。</w:t>
      </w:r>
    </w:p>
    <w:p w14:paraId="4739D9AA" w14:textId="77777777" w:rsidR="00E84F65" w:rsidRPr="00E84F65" w:rsidRDefault="00E84F65" w:rsidP="00E84F65">
      <w:pPr>
        <w:pStyle w:val="Standard"/>
        <w:spacing w:line="300" w:lineRule="exact"/>
        <w:ind w:firstLine="567"/>
        <w:jc w:val="both"/>
        <w:rPr>
          <w:rFonts w:ascii="標楷體" w:eastAsia="標楷體" w:hAnsi="標楷體" w:cs="標楷體"/>
          <w:sz w:val="28"/>
          <w:szCs w:val="28"/>
          <w:lang w:val="zh-TW"/>
        </w:rPr>
      </w:pPr>
      <w:r w:rsidRPr="00E84F65">
        <w:rPr>
          <w:rFonts w:ascii="標楷體" w:eastAsia="標楷體" w:hAnsi="標楷體" w:cs="標楷體"/>
          <w:sz w:val="28"/>
          <w:szCs w:val="28"/>
          <w:lang w:val="zh-TW"/>
        </w:rPr>
        <w:t>三、檔案名稱為作品名稱。</w:t>
      </w:r>
    </w:p>
    <w:p w14:paraId="11601DCF" w14:textId="4AAB9EB3" w:rsidR="00E84F65" w:rsidRPr="00E84F65" w:rsidRDefault="00E84F65" w:rsidP="00E84F65">
      <w:pPr>
        <w:pStyle w:val="Standard"/>
        <w:spacing w:line="300" w:lineRule="exact"/>
        <w:ind w:firstLine="567"/>
        <w:jc w:val="both"/>
        <w:rPr>
          <w:rFonts w:ascii="標楷體" w:eastAsia="標楷體" w:hAnsi="標楷體" w:cs="標楷體"/>
          <w:sz w:val="28"/>
          <w:szCs w:val="28"/>
          <w:lang w:val="zh-TW"/>
        </w:rPr>
      </w:pPr>
      <w:r w:rsidRPr="00E84F65">
        <w:rPr>
          <w:rFonts w:ascii="標楷體" w:eastAsia="標楷體" w:hAnsi="標楷體" w:cs="標楷體"/>
          <w:sz w:val="28"/>
          <w:szCs w:val="28"/>
          <w:lang w:val="zh-TW"/>
        </w:rPr>
        <w:t>四、檔案大小限</w:t>
      </w:r>
      <w:r w:rsidR="00337287">
        <w:rPr>
          <w:rFonts w:ascii="標楷體" w:eastAsia="標楷體" w:hAnsi="標楷體" w:cs="標楷體" w:hint="eastAsia"/>
          <w:sz w:val="28"/>
          <w:szCs w:val="28"/>
          <w:lang w:val="zh-TW"/>
        </w:rPr>
        <w:t xml:space="preserve"> </w:t>
      </w:r>
      <w:r w:rsidRPr="00337287">
        <w:rPr>
          <w:rFonts w:ascii="標楷體" w:eastAsia="標楷體" w:hAnsi="標楷體" w:cs="標楷體"/>
          <w:b/>
          <w:bCs/>
          <w:color w:val="FF0000"/>
          <w:sz w:val="28"/>
          <w:szCs w:val="28"/>
          <w:lang w:val="zh-TW"/>
        </w:rPr>
        <w:t>10</w:t>
      </w:r>
      <w:r w:rsidR="00337287">
        <w:rPr>
          <w:rFonts w:ascii="標楷體" w:eastAsia="標楷體" w:hAnsi="標楷體" w:cs="標楷體"/>
          <w:sz w:val="28"/>
          <w:szCs w:val="28"/>
          <w:lang w:val="zh-TW"/>
        </w:rPr>
        <w:t xml:space="preserve"> </w:t>
      </w:r>
      <w:r w:rsidRPr="00E84F65">
        <w:rPr>
          <w:rFonts w:ascii="標楷體" w:eastAsia="標楷體" w:hAnsi="標楷體" w:cs="標楷體"/>
          <w:sz w:val="28"/>
          <w:szCs w:val="28"/>
          <w:lang w:val="zh-TW"/>
        </w:rPr>
        <w:t>MBytes以內。</w:t>
      </w:r>
    </w:p>
    <w:p w14:paraId="0C50C76C" w14:textId="1102931A" w:rsidR="00E84F65" w:rsidRPr="00E84F65" w:rsidRDefault="00E84F65" w:rsidP="00E84F65">
      <w:pPr>
        <w:pStyle w:val="Standard"/>
        <w:spacing w:line="300" w:lineRule="exact"/>
        <w:ind w:firstLine="567"/>
        <w:jc w:val="both"/>
        <w:rPr>
          <w:rFonts w:ascii="標楷體" w:eastAsia="標楷體" w:hAnsi="標楷體" w:cs="標楷體"/>
          <w:sz w:val="28"/>
          <w:szCs w:val="28"/>
          <w:lang w:val="zh-TW"/>
        </w:rPr>
      </w:pPr>
      <w:r w:rsidRPr="00E84F65">
        <w:rPr>
          <w:rFonts w:ascii="標楷體" w:eastAsia="標楷體" w:hAnsi="標楷體" w:cs="標楷體"/>
          <w:sz w:val="28"/>
          <w:szCs w:val="28"/>
          <w:lang w:val="zh-TW"/>
        </w:rPr>
        <w:t>五、一律以內文第一頁起始插入頁碼。</w:t>
      </w:r>
    </w:p>
    <w:p w14:paraId="3F5836F2" w14:textId="7FC478BC" w:rsidR="00E84F65" w:rsidRPr="00D34C70" w:rsidRDefault="00E84F65" w:rsidP="00D34C70">
      <w:pPr>
        <w:rPr>
          <w:rFonts w:ascii="標楷體" w:eastAsia="標楷體" w:hAnsi="標楷體"/>
          <w:sz w:val="28"/>
          <w:szCs w:val="22"/>
        </w:rPr>
      </w:pPr>
      <w:r w:rsidRPr="00E84F65">
        <w:rPr>
          <w:lang w:val="zh-TW"/>
        </w:rPr>
        <w:br w:type="page"/>
      </w:r>
      <w:r w:rsidRPr="00D34C70">
        <w:rPr>
          <w:rFonts w:ascii="標楷體" w:eastAsia="標楷體" w:hAnsi="標楷體" w:hint="eastAsia"/>
          <w:sz w:val="28"/>
          <w:szCs w:val="22"/>
        </w:rPr>
        <w:lastRenderedPageBreak/>
        <w:t>附錄</w:t>
      </w:r>
    </w:p>
    <w:p w14:paraId="3640BA1B" w14:textId="77777777" w:rsidR="00E84F65" w:rsidRPr="00337287" w:rsidRDefault="00E84F65" w:rsidP="00337287">
      <w:pPr>
        <w:jc w:val="center"/>
        <w:rPr>
          <w:rFonts w:ascii="標楷體" w:eastAsia="標楷體" w:hAnsi="標楷體"/>
          <w:sz w:val="28"/>
          <w:szCs w:val="22"/>
        </w:rPr>
      </w:pPr>
      <w:r w:rsidRPr="00337287">
        <w:rPr>
          <w:rFonts w:ascii="標楷體" w:eastAsia="標楷體" w:hAnsi="標楷體" w:hint="eastAsia"/>
          <w:sz w:val="28"/>
          <w:szCs w:val="22"/>
        </w:rPr>
        <w:t>◎APA第六版一般文獻格式◎</w:t>
      </w:r>
    </w:p>
    <w:p w14:paraId="6C306FA1" w14:textId="77777777" w:rsidR="00E84F65" w:rsidRPr="00337287" w:rsidRDefault="00E84F65" w:rsidP="00337287">
      <w:pPr>
        <w:jc w:val="right"/>
        <w:rPr>
          <w:rFonts w:ascii="標楷體" w:eastAsia="標楷體" w:hAnsi="標楷體"/>
        </w:rPr>
      </w:pPr>
      <w:r w:rsidRPr="00337287">
        <w:rPr>
          <w:rFonts w:ascii="標楷體" w:eastAsia="標楷體" w:hAnsi="標楷體" w:hint="eastAsia"/>
        </w:rPr>
        <w:t>林天祐</w:t>
      </w:r>
    </w:p>
    <w:p w14:paraId="19375AD1" w14:textId="77777777" w:rsidR="00E84F65" w:rsidRPr="00337287" w:rsidRDefault="00E84F65" w:rsidP="00337287">
      <w:pPr>
        <w:jc w:val="right"/>
        <w:rPr>
          <w:rFonts w:ascii="標楷體" w:eastAsia="標楷體" w:hAnsi="標楷體"/>
        </w:rPr>
      </w:pPr>
      <w:r w:rsidRPr="00337287">
        <w:rPr>
          <w:rFonts w:ascii="標楷體" w:eastAsia="標楷體" w:hAnsi="標楷體" w:hint="eastAsia"/>
        </w:rPr>
        <w:t>台北市立師範學院國民教育研究所</w:t>
      </w:r>
    </w:p>
    <w:p w14:paraId="74D62CC7" w14:textId="77777777" w:rsidR="00E84F65" w:rsidRPr="00337287" w:rsidRDefault="00E84F65" w:rsidP="00E84F65">
      <w:pPr>
        <w:rPr>
          <w:rFonts w:ascii="標楷體" w:eastAsia="標楷體" w:hAnsi="標楷體"/>
        </w:rPr>
      </w:pPr>
      <w:r w:rsidRPr="00337287">
        <w:rPr>
          <w:rFonts w:ascii="標楷體" w:eastAsia="標楷體" w:hAnsi="標楷體" w:hint="eastAsia"/>
        </w:rPr>
        <w:t>壹、中文部分</w:t>
      </w:r>
    </w:p>
    <w:p w14:paraId="5780BAA3" w14:textId="77777777" w:rsidR="00E84F65" w:rsidRPr="00337287" w:rsidRDefault="00E84F65" w:rsidP="00E84F65">
      <w:pPr>
        <w:rPr>
          <w:rFonts w:ascii="標楷體" w:eastAsia="標楷體" w:hAnsi="標楷體"/>
        </w:rPr>
      </w:pPr>
      <w:r w:rsidRPr="00337287">
        <w:rPr>
          <w:rFonts w:ascii="標楷體" w:eastAsia="標楷體" w:hAnsi="標楷體" w:hint="eastAsia"/>
        </w:rPr>
        <w:t>【書中的一篇文章】</w:t>
      </w:r>
    </w:p>
    <w:p w14:paraId="0084F23C" w14:textId="77777777" w:rsidR="00E84F65" w:rsidRPr="00337287" w:rsidRDefault="00E84F65" w:rsidP="00337287">
      <w:pPr>
        <w:ind w:leftChars="100" w:left="240"/>
        <w:rPr>
          <w:rFonts w:ascii="標楷體" w:eastAsia="標楷體" w:hAnsi="標楷體"/>
        </w:rPr>
      </w:pPr>
      <w:r w:rsidRPr="00337287">
        <w:rPr>
          <w:rFonts w:ascii="標楷體" w:eastAsia="標楷體" w:hAnsi="標楷體" w:hint="eastAsia"/>
        </w:rPr>
        <w:t>呂木琳（1994）•有效安排教師在職進修因素檢西•載於中華民國教育學會主編，師範教育多元化與師資素質（59-78頁）•臺北市：師大書苑。</w:t>
      </w:r>
    </w:p>
    <w:p w14:paraId="463F4A21" w14:textId="77777777" w:rsidR="00E84F65" w:rsidRPr="00337287" w:rsidRDefault="00E84F65" w:rsidP="00E84F65">
      <w:pPr>
        <w:rPr>
          <w:rFonts w:ascii="標楷體" w:eastAsia="標楷體" w:hAnsi="標楷體"/>
        </w:rPr>
      </w:pPr>
      <w:r w:rsidRPr="00337287">
        <w:rPr>
          <w:rFonts w:ascii="標楷體" w:eastAsia="標楷體" w:hAnsi="標楷體" w:hint="eastAsia"/>
        </w:rPr>
        <w:t>【一本書】</w:t>
      </w:r>
    </w:p>
    <w:p w14:paraId="2DB20D39" w14:textId="77777777" w:rsidR="00E84F65" w:rsidRPr="00337287" w:rsidRDefault="00E84F65" w:rsidP="00337287">
      <w:pPr>
        <w:ind w:leftChars="100" w:left="240"/>
        <w:rPr>
          <w:rFonts w:ascii="標楷體" w:eastAsia="標楷體" w:hAnsi="標楷體"/>
        </w:rPr>
      </w:pPr>
      <w:r w:rsidRPr="00337287">
        <w:rPr>
          <w:rFonts w:ascii="標楷體" w:eastAsia="標楷體" w:hAnsi="標楷體" w:hint="eastAsia"/>
        </w:rPr>
        <w:t>吳明清（1996）•教育研究－基本觀念與方法分析•臺北市：五南。</w:t>
      </w:r>
    </w:p>
    <w:p w14:paraId="22B20DD0" w14:textId="77777777" w:rsidR="00E84F65" w:rsidRPr="00337287" w:rsidRDefault="00E84F65" w:rsidP="00337287">
      <w:pPr>
        <w:ind w:leftChars="100" w:left="240"/>
        <w:rPr>
          <w:rFonts w:ascii="標楷體" w:eastAsia="標楷體" w:hAnsi="標楷體"/>
        </w:rPr>
      </w:pPr>
      <w:r w:rsidRPr="00337287">
        <w:rPr>
          <w:rFonts w:ascii="標楷體" w:eastAsia="標楷體" w:hAnsi="標楷體" w:hint="eastAsia"/>
        </w:rPr>
        <w:t>吳明清（2000）•教育研究－基本觀念與方法分析（2版）•臺北市：五南。</w:t>
      </w:r>
    </w:p>
    <w:p w14:paraId="652F3EC1" w14:textId="77777777" w:rsidR="00E84F65" w:rsidRPr="00337287" w:rsidRDefault="00E84F65" w:rsidP="00E84F65">
      <w:pPr>
        <w:rPr>
          <w:rFonts w:ascii="標楷體" w:eastAsia="標楷體" w:hAnsi="標楷體"/>
        </w:rPr>
      </w:pPr>
      <w:r w:rsidRPr="00337287">
        <w:rPr>
          <w:rFonts w:ascii="標楷體" w:eastAsia="標楷體" w:hAnsi="標楷體" w:hint="eastAsia"/>
        </w:rPr>
        <w:t>【期刊文章】</w:t>
      </w:r>
    </w:p>
    <w:p w14:paraId="45311681" w14:textId="77777777" w:rsidR="00E84F65" w:rsidRPr="00337287" w:rsidRDefault="00E84F65" w:rsidP="00337287">
      <w:pPr>
        <w:ind w:leftChars="100" w:left="240"/>
        <w:rPr>
          <w:rFonts w:ascii="標楷體" w:eastAsia="標楷體" w:hAnsi="標楷體"/>
        </w:rPr>
      </w:pPr>
      <w:r w:rsidRPr="00337287">
        <w:rPr>
          <w:rFonts w:ascii="標楷體" w:eastAsia="標楷體" w:hAnsi="標楷體" w:hint="eastAsia"/>
        </w:rPr>
        <w:t>吳明清（1990）•談組織效能之提升與校長角色•教師天地，46，46-48。</w:t>
      </w:r>
    </w:p>
    <w:p w14:paraId="07393D44" w14:textId="77777777" w:rsidR="00E84F65" w:rsidRPr="00337287" w:rsidRDefault="00E84F65" w:rsidP="00337287">
      <w:pPr>
        <w:ind w:leftChars="100" w:left="240"/>
        <w:rPr>
          <w:rFonts w:ascii="標楷體" w:eastAsia="標楷體" w:hAnsi="標楷體"/>
        </w:rPr>
      </w:pPr>
      <w:r w:rsidRPr="00337287">
        <w:rPr>
          <w:rFonts w:ascii="標楷體" w:eastAsia="標楷體" w:hAnsi="標楷體" w:hint="eastAsia"/>
        </w:rPr>
        <w:t>吳清山、林天祐（2001a）•網路成癮•教育資料與研究，42，111。</w:t>
      </w:r>
    </w:p>
    <w:p w14:paraId="39F00A7B" w14:textId="77777777" w:rsidR="00E84F65" w:rsidRPr="00337287" w:rsidRDefault="00E84F65" w:rsidP="00337287">
      <w:pPr>
        <w:ind w:leftChars="100" w:left="240"/>
        <w:rPr>
          <w:rFonts w:ascii="標楷體" w:eastAsia="標楷體" w:hAnsi="標楷體"/>
        </w:rPr>
      </w:pPr>
      <w:r w:rsidRPr="00337287">
        <w:rPr>
          <w:rFonts w:ascii="標楷體" w:eastAsia="標楷體" w:hAnsi="標楷體" w:hint="eastAsia"/>
        </w:rPr>
        <w:t>吳清山、林天祐（2001b）•網路輔導•教育資料與研究，42，112。</w:t>
      </w:r>
    </w:p>
    <w:p w14:paraId="48CEF40A" w14:textId="77777777" w:rsidR="00E84F65" w:rsidRPr="00337287" w:rsidRDefault="00E84F65" w:rsidP="00337287">
      <w:pPr>
        <w:ind w:leftChars="100" w:left="240"/>
        <w:rPr>
          <w:rFonts w:ascii="標楷體" w:eastAsia="標楷體" w:hAnsi="標楷體"/>
        </w:rPr>
      </w:pPr>
      <w:r w:rsidRPr="00337287">
        <w:rPr>
          <w:rFonts w:ascii="標楷體" w:eastAsia="標楷體" w:hAnsi="標楷體" w:hint="eastAsia"/>
        </w:rPr>
        <w:t>黃敏晃（2014）•加與乘的遊戲•科學研習，53(7)，37-43。</w:t>
      </w:r>
    </w:p>
    <w:p w14:paraId="10582634" w14:textId="77777777" w:rsidR="00E84F65" w:rsidRPr="00337287" w:rsidRDefault="00E84F65" w:rsidP="00E84F65">
      <w:pPr>
        <w:rPr>
          <w:rFonts w:ascii="標楷體" w:eastAsia="標楷體" w:hAnsi="標楷體"/>
        </w:rPr>
      </w:pPr>
      <w:r w:rsidRPr="00337287">
        <w:rPr>
          <w:rFonts w:ascii="標楷體" w:eastAsia="標楷體" w:hAnsi="標楷體" w:hint="eastAsia"/>
        </w:rPr>
        <w:t>【國科會報告】</w:t>
      </w:r>
    </w:p>
    <w:p w14:paraId="3F2887F6" w14:textId="77777777" w:rsidR="00E84F65" w:rsidRPr="00337287" w:rsidRDefault="00E84F65" w:rsidP="00337287">
      <w:pPr>
        <w:ind w:leftChars="100" w:left="240"/>
        <w:rPr>
          <w:rFonts w:ascii="標楷體" w:eastAsia="標楷體" w:hAnsi="標楷體"/>
        </w:rPr>
      </w:pPr>
      <w:r w:rsidRPr="00337287">
        <w:rPr>
          <w:rFonts w:ascii="標楷體" w:eastAsia="標楷體" w:hAnsi="標楷體" w:hint="eastAsia"/>
        </w:rPr>
        <w:t>吳清山、林天祐、黃三吉（2000）•國民中小學教師專業能力的評鑑與教師遴選之研究•（報告編號：NSC 88-2418-H-133-001-F19）•臺北：行政院國家科學委員會。</w:t>
      </w:r>
    </w:p>
    <w:p w14:paraId="157E22F3" w14:textId="77777777" w:rsidR="00E84F65" w:rsidRPr="00337287" w:rsidRDefault="00E84F65" w:rsidP="00E84F65">
      <w:pPr>
        <w:rPr>
          <w:rFonts w:ascii="標楷體" w:eastAsia="標楷體" w:hAnsi="標楷體"/>
        </w:rPr>
      </w:pPr>
      <w:r w:rsidRPr="00337287">
        <w:rPr>
          <w:rFonts w:ascii="標楷體" w:eastAsia="標楷體" w:hAnsi="標楷體" w:hint="eastAsia"/>
        </w:rPr>
        <w:t>【學位論文】</w:t>
      </w:r>
    </w:p>
    <w:p w14:paraId="26B95306" w14:textId="77777777" w:rsidR="00E84F65" w:rsidRPr="00337287" w:rsidRDefault="00E84F65" w:rsidP="00337287">
      <w:pPr>
        <w:ind w:leftChars="100" w:left="240"/>
        <w:rPr>
          <w:rFonts w:ascii="標楷體" w:eastAsia="標楷體" w:hAnsi="標楷體"/>
        </w:rPr>
      </w:pPr>
      <w:r w:rsidRPr="00337287">
        <w:rPr>
          <w:rFonts w:ascii="標楷體" w:eastAsia="標楷體" w:hAnsi="標楷體" w:hint="eastAsia"/>
        </w:rPr>
        <w:t>柯正峰（1999）•我國邁向學習社會政策制訂之研究－政策問題形成、政策規劃及政策合法化探討(未出版的博士論文)•臺北：國立台灣師範大學社會教育學系。</w:t>
      </w:r>
    </w:p>
    <w:p w14:paraId="1E27D594" w14:textId="77777777" w:rsidR="00E84F65" w:rsidRPr="00337287" w:rsidRDefault="00E84F65" w:rsidP="00E84F65">
      <w:pPr>
        <w:rPr>
          <w:rFonts w:ascii="標楷體" w:eastAsia="標楷體" w:hAnsi="標楷體"/>
        </w:rPr>
      </w:pPr>
      <w:r w:rsidRPr="00337287">
        <w:rPr>
          <w:rFonts w:ascii="標楷體" w:eastAsia="標楷體" w:hAnsi="標楷體" w:hint="eastAsia"/>
        </w:rPr>
        <w:t>【政府出版品】</w:t>
      </w:r>
    </w:p>
    <w:p w14:paraId="2971DF5D" w14:textId="77777777" w:rsidR="00E84F65" w:rsidRPr="00337287" w:rsidRDefault="00E84F65" w:rsidP="00337287">
      <w:pPr>
        <w:ind w:leftChars="100" w:left="240"/>
        <w:rPr>
          <w:rFonts w:ascii="標楷體" w:eastAsia="標楷體" w:hAnsi="標楷體"/>
        </w:rPr>
      </w:pPr>
      <w:r w:rsidRPr="00337287">
        <w:rPr>
          <w:rFonts w:ascii="標楷體" w:eastAsia="標楷體" w:hAnsi="標楷體" w:hint="eastAsia"/>
        </w:rPr>
        <w:t>教育部（2001）•中華民國教育統計•臺北市：作者。</w:t>
      </w:r>
    </w:p>
    <w:p w14:paraId="1092B759" w14:textId="77777777" w:rsidR="00E84F65" w:rsidRPr="00337287" w:rsidRDefault="00E84F65" w:rsidP="00E84F65">
      <w:pPr>
        <w:rPr>
          <w:rFonts w:ascii="標楷體" w:eastAsia="標楷體" w:hAnsi="標楷體"/>
        </w:rPr>
      </w:pPr>
      <w:r w:rsidRPr="00337287">
        <w:rPr>
          <w:rFonts w:ascii="標楷體" w:eastAsia="標楷體" w:hAnsi="標楷體" w:hint="eastAsia"/>
        </w:rPr>
        <w:t>【報紙】</w:t>
      </w:r>
    </w:p>
    <w:p w14:paraId="2F6BDD8D" w14:textId="77777777" w:rsidR="00E84F65" w:rsidRPr="00337287" w:rsidRDefault="00E84F65" w:rsidP="00337287">
      <w:pPr>
        <w:ind w:leftChars="100" w:left="240"/>
        <w:rPr>
          <w:rFonts w:ascii="標楷體" w:eastAsia="標楷體" w:hAnsi="標楷體"/>
        </w:rPr>
      </w:pPr>
      <w:r w:rsidRPr="00337287">
        <w:rPr>
          <w:rFonts w:ascii="標楷體" w:eastAsia="標楷體" w:hAnsi="標楷體" w:hint="eastAsia"/>
        </w:rPr>
        <w:t>陳揚盛（2001年2月20日）•基本學力測驗考慮加考國三下課程•台灣立報，4版。</w:t>
      </w:r>
    </w:p>
    <w:p w14:paraId="581F4123" w14:textId="77777777" w:rsidR="00E84F65" w:rsidRPr="00337287" w:rsidRDefault="00E84F65" w:rsidP="00E84F65">
      <w:pPr>
        <w:rPr>
          <w:rFonts w:ascii="標楷體" w:eastAsia="標楷體" w:hAnsi="標楷體"/>
        </w:rPr>
      </w:pPr>
    </w:p>
    <w:p w14:paraId="4212D087" w14:textId="77777777" w:rsidR="00E84F65" w:rsidRPr="00337287" w:rsidRDefault="00E84F65" w:rsidP="00E84F65">
      <w:pPr>
        <w:rPr>
          <w:rFonts w:ascii="標楷體" w:eastAsia="標楷體" w:hAnsi="標楷體"/>
        </w:rPr>
      </w:pPr>
      <w:r w:rsidRPr="00337287">
        <w:rPr>
          <w:rFonts w:ascii="標楷體" w:eastAsia="標楷體" w:hAnsi="標楷體" w:hint="eastAsia"/>
        </w:rPr>
        <w:t>貳、英文部分</w:t>
      </w:r>
    </w:p>
    <w:p w14:paraId="5485D801" w14:textId="77777777" w:rsidR="00E84F65" w:rsidRPr="00337287" w:rsidRDefault="00E84F65" w:rsidP="00E84F65">
      <w:pPr>
        <w:rPr>
          <w:rFonts w:ascii="標楷體" w:eastAsia="標楷體" w:hAnsi="標楷體"/>
        </w:rPr>
      </w:pPr>
      <w:r w:rsidRPr="00337287">
        <w:rPr>
          <w:rFonts w:ascii="標楷體" w:eastAsia="標楷體" w:hAnsi="標楷體" w:hint="eastAsia"/>
        </w:rPr>
        <w:t>【ERIC】</w:t>
      </w:r>
    </w:p>
    <w:p w14:paraId="33958678" w14:textId="77777777" w:rsidR="00E84F65" w:rsidRPr="00337287" w:rsidRDefault="00E84F65" w:rsidP="00337287">
      <w:pPr>
        <w:ind w:leftChars="100" w:left="240"/>
        <w:rPr>
          <w:rFonts w:ascii="標楷體" w:eastAsia="標楷體" w:hAnsi="標楷體"/>
        </w:rPr>
      </w:pPr>
      <w:r w:rsidRPr="00337287">
        <w:rPr>
          <w:rFonts w:ascii="標楷體" w:eastAsia="標楷體" w:hAnsi="標楷體"/>
        </w:rPr>
        <w:t>Barker, B. O. (1986). The advantage of small schools. (ERIC Document Reproduction Service No. ED 265 988)</w:t>
      </w:r>
    </w:p>
    <w:p w14:paraId="631E5AB7" w14:textId="77777777" w:rsidR="00E84F65" w:rsidRPr="00337287" w:rsidRDefault="00E84F65" w:rsidP="00E84F65">
      <w:pPr>
        <w:rPr>
          <w:rFonts w:ascii="標楷體" w:eastAsia="標楷體" w:hAnsi="標楷體"/>
        </w:rPr>
      </w:pPr>
      <w:r w:rsidRPr="00337287">
        <w:rPr>
          <w:rFonts w:ascii="標楷體" w:eastAsia="標楷體" w:hAnsi="標楷體" w:hint="eastAsia"/>
        </w:rPr>
        <w:t>【一本書】</w:t>
      </w:r>
    </w:p>
    <w:p w14:paraId="57FFE9F2" w14:textId="77777777" w:rsidR="00E84F65" w:rsidRPr="00337287" w:rsidRDefault="00E84F65" w:rsidP="00337287">
      <w:pPr>
        <w:ind w:leftChars="100" w:left="240"/>
        <w:rPr>
          <w:rFonts w:ascii="標楷體" w:eastAsia="標楷體" w:hAnsi="標楷體"/>
        </w:rPr>
      </w:pPr>
      <w:r w:rsidRPr="00337287">
        <w:rPr>
          <w:rFonts w:ascii="標楷體" w:eastAsia="標楷體" w:hAnsi="標楷體"/>
        </w:rPr>
        <w:t>Barnard, C. I. (1971). The functions of the executive. Cambridge, MA: Harvard University Press.</w:t>
      </w:r>
    </w:p>
    <w:p w14:paraId="272AB64B" w14:textId="77777777" w:rsidR="00E84F65" w:rsidRPr="00337287" w:rsidRDefault="00E84F65" w:rsidP="00E84F65">
      <w:pPr>
        <w:rPr>
          <w:rFonts w:ascii="標楷體" w:eastAsia="標楷體" w:hAnsi="標楷體"/>
        </w:rPr>
      </w:pPr>
      <w:r w:rsidRPr="00337287">
        <w:rPr>
          <w:rFonts w:ascii="標楷體" w:eastAsia="標楷體" w:hAnsi="標楷體" w:hint="eastAsia"/>
        </w:rPr>
        <w:t>【書中的一篇文章】</w:t>
      </w:r>
    </w:p>
    <w:p w14:paraId="1455F5E4" w14:textId="77777777" w:rsidR="00E84F65" w:rsidRPr="00337287" w:rsidRDefault="00E84F65" w:rsidP="00337287">
      <w:pPr>
        <w:ind w:leftChars="100" w:left="240"/>
        <w:rPr>
          <w:rFonts w:ascii="標楷體" w:eastAsia="標楷體" w:hAnsi="標楷體"/>
        </w:rPr>
      </w:pPr>
      <w:r w:rsidRPr="00337287">
        <w:rPr>
          <w:rFonts w:ascii="標楷體" w:eastAsia="標楷體" w:hAnsi="標楷體"/>
        </w:rPr>
        <w:t xml:space="preserve">Creemers, B. P. M. (1992). School effectiveness, effective instruction and school improvement in the Netherlands. In D. Reynolds &amp; P. Cuttance (Eds.), School effectiveness: Research, policy and practice (pp. 48-70). London: </w:t>
      </w:r>
      <w:r w:rsidRPr="00337287">
        <w:rPr>
          <w:rFonts w:ascii="標楷體" w:eastAsia="標楷體" w:hAnsi="標楷體"/>
        </w:rPr>
        <w:lastRenderedPageBreak/>
        <w:t>Cassell.</w:t>
      </w:r>
    </w:p>
    <w:p w14:paraId="279FAE73" w14:textId="77777777" w:rsidR="00E84F65" w:rsidRPr="00337287" w:rsidRDefault="00E84F65" w:rsidP="00E84F65">
      <w:pPr>
        <w:rPr>
          <w:rFonts w:ascii="標楷體" w:eastAsia="標楷體" w:hAnsi="標楷體"/>
        </w:rPr>
      </w:pPr>
      <w:r w:rsidRPr="00337287">
        <w:rPr>
          <w:rFonts w:ascii="標楷體" w:eastAsia="標楷體" w:hAnsi="標楷體" w:hint="eastAsia"/>
        </w:rPr>
        <w:t>【期刊文章】</w:t>
      </w:r>
    </w:p>
    <w:p w14:paraId="3D0BA952" w14:textId="77777777" w:rsidR="00E84F65" w:rsidRPr="00337287" w:rsidRDefault="00E84F65" w:rsidP="00337287">
      <w:pPr>
        <w:ind w:leftChars="100" w:left="240"/>
        <w:rPr>
          <w:rFonts w:ascii="標楷體" w:eastAsia="標楷體" w:hAnsi="標楷體"/>
        </w:rPr>
      </w:pPr>
      <w:r w:rsidRPr="00337287">
        <w:rPr>
          <w:rFonts w:ascii="標楷體" w:eastAsia="標楷體" w:hAnsi="標楷體"/>
        </w:rPr>
        <w:t>Edmonds, R. R. (1982). Programs of school improvement: An overview. Educational Leadership, 40(3), 4-11.</w:t>
      </w:r>
    </w:p>
    <w:p w14:paraId="5150E40B" w14:textId="77777777" w:rsidR="00E84F65" w:rsidRPr="00337287" w:rsidRDefault="00E84F65" w:rsidP="00E84F65">
      <w:pPr>
        <w:rPr>
          <w:rFonts w:ascii="標楷體" w:eastAsia="標楷體" w:hAnsi="標楷體"/>
        </w:rPr>
      </w:pPr>
      <w:r w:rsidRPr="00337287">
        <w:rPr>
          <w:rFonts w:ascii="標楷體" w:eastAsia="標楷體" w:hAnsi="標楷體" w:hint="eastAsia"/>
        </w:rPr>
        <w:t>【學位論文】</w:t>
      </w:r>
    </w:p>
    <w:p w14:paraId="46B1416B" w14:textId="77777777" w:rsidR="00E84F65" w:rsidRPr="00337287" w:rsidRDefault="00E84F65" w:rsidP="00337287">
      <w:pPr>
        <w:ind w:leftChars="100" w:left="240"/>
        <w:rPr>
          <w:rFonts w:ascii="標楷體" w:eastAsia="標楷體" w:hAnsi="標楷體"/>
        </w:rPr>
      </w:pPr>
      <w:r w:rsidRPr="00337287">
        <w:rPr>
          <w:rFonts w:ascii="標楷體" w:eastAsia="標楷體" w:hAnsi="標楷體"/>
        </w:rPr>
        <w:t>Hungerford, N. L. (1986). Factors perceived by teachers and administrators as stimulative and supportive of professional growth. (Unpublished doctoral dissertation)• State university of Michigan, East Lansing, Michigan.</w:t>
      </w:r>
    </w:p>
    <w:p w14:paraId="19277D3D" w14:textId="77777777" w:rsidR="00E84F65" w:rsidRPr="00337287" w:rsidRDefault="00E84F65" w:rsidP="00E84F65">
      <w:pPr>
        <w:rPr>
          <w:rFonts w:ascii="標楷體" w:eastAsia="標楷體" w:hAnsi="標楷體"/>
        </w:rPr>
      </w:pPr>
    </w:p>
    <w:p w14:paraId="1AFC5F0F" w14:textId="77777777" w:rsidR="00E84F65" w:rsidRPr="00337287" w:rsidRDefault="00E84F65" w:rsidP="00E84F65">
      <w:pPr>
        <w:rPr>
          <w:rFonts w:ascii="標楷體" w:eastAsia="標楷體" w:hAnsi="標楷體"/>
        </w:rPr>
      </w:pPr>
      <w:r w:rsidRPr="00337287">
        <w:rPr>
          <w:rFonts w:ascii="標楷體" w:eastAsia="標楷體" w:hAnsi="標楷體" w:hint="eastAsia"/>
        </w:rPr>
        <w:t>參、網路資源</w:t>
      </w:r>
    </w:p>
    <w:p w14:paraId="0DE49378" w14:textId="77777777" w:rsidR="00E84F65" w:rsidRPr="00337287" w:rsidRDefault="00E84F65" w:rsidP="00E84F65">
      <w:pPr>
        <w:rPr>
          <w:rFonts w:ascii="標楷體" w:eastAsia="標楷體" w:hAnsi="標楷體"/>
        </w:rPr>
      </w:pPr>
      <w:r w:rsidRPr="00337287">
        <w:rPr>
          <w:rFonts w:ascii="標楷體" w:eastAsia="標楷體" w:hAnsi="標楷體" w:hint="eastAsia"/>
        </w:rPr>
        <w:t>一、中文部分</w:t>
      </w:r>
    </w:p>
    <w:p w14:paraId="14FA091C" w14:textId="77777777" w:rsidR="00E84F65" w:rsidRPr="00337287" w:rsidRDefault="00E84F65" w:rsidP="00E84F65">
      <w:pPr>
        <w:rPr>
          <w:rFonts w:ascii="標楷體" w:eastAsia="標楷體" w:hAnsi="標楷體"/>
        </w:rPr>
      </w:pPr>
      <w:r w:rsidRPr="00337287">
        <w:rPr>
          <w:rFonts w:ascii="標楷體" w:eastAsia="標楷體" w:hAnsi="標楷體" w:hint="eastAsia"/>
        </w:rPr>
        <w:t>【公告事項】</w:t>
      </w:r>
    </w:p>
    <w:p w14:paraId="3C539BEC" w14:textId="77777777" w:rsidR="00E84F65" w:rsidRPr="00337287" w:rsidRDefault="00E84F65" w:rsidP="00337287">
      <w:pPr>
        <w:ind w:leftChars="100" w:left="240"/>
        <w:rPr>
          <w:rFonts w:ascii="標楷體" w:eastAsia="標楷體" w:hAnsi="標楷體"/>
        </w:rPr>
      </w:pPr>
      <w:r w:rsidRPr="00337287">
        <w:rPr>
          <w:rFonts w:ascii="標楷體" w:eastAsia="標楷體" w:hAnsi="標楷體" w:hint="eastAsia"/>
        </w:rPr>
        <w:t>訓委會（2001年2月16日）•「建立學生輔導新體制--教學、訓導、輔導三合一整合實驗方案」申請試辦及觀摩實施要點（修正版）[公告] •取自：http://www.edu.tw/displ/bbs/ 三合一申請試辦要點修正版.doc</w:t>
      </w:r>
    </w:p>
    <w:p w14:paraId="5FF0068E" w14:textId="77777777" w:rsidR="00E84F65" w:rsidRPr="00337287" w:rsidRDefault="00E84F65" w:rsidP="00E84F65">
      <w:pPr>
        <w:rPr>
          <w:rFonts w:ascii="標楷體" w:eastAsia="標楷體" w:hAnsi="標楷體"/>
        </w:rPr>
      </w:pPr>
      <w:r w:rsidRPr="00337287">
        <w:rPr>
          <w:rFonts w:ascii="標楷體" w:eastAsia="標楷體" w:hAnsi="標楷體" w:hint="eastAsia"/>
        </w:rPr>
        <w:t>【期刊文章】</w:t>
      </w:r>
    </w:p>
    <w:p w14:paraId="0C87B507" w14:textId="77777777" w:rsidR="00E84F65" w:rsidRPr="00337287" w:rsidRDefault="00E84F65" w:rsidP="00337287">
      <w:pPr>
        <w:ind w:leftChars="100" w:left="240"/>
        <w:rPr>
          <w:rFonts w:ascii="標楷體" w:eastAsia="標楷體" w:hAnsi="標楷體"/>
        </w:rPr>
      </w:pPr>
      <w:r w:rsidRPr="00337287">
        <w:rPr>
          <w:rFonts w:ascii="標楷體" w:eastAsia="標楷體" w:hAnsi="標楷體" w:hint="eastAsia"/>
        </w:rPr>
        <w:t>黃士嘉（2000）•發展性之學校危機管理探究•教育資料與研究，37•取自http://www.nioerar.edu.tw/basis3/37/a11.htm</w:t>
      </w:r>
    </w:p>
    <w:p w14:paraId="0C052B21" w14:textId="77777777" w:rsidR="00E84F65" w:rsidRPr="00337287" w:rsidRDefault="00E84F65" w:rsidP="00E84F65">
      <w:pPr>
        <w:rPr>
          <w:rFonts w:ascii="標楷體" w:eastAsia="標楷體" w:hAnsi="標楷體"/>
        </w:rPr>
      </w:pPr>
      <w:r w:rsidRPr="00337287">
        <w:rPr>
          <w:rFonts w:ascii="標楷體" w:eastAsia="標楷體" w:hAnsi="標楷體" w:hint="eastAsia"/>
        </w:rPr>
        <w:t>【雜誌文章】</w:t>
      </w:r>
    </w:p>
    <w:p w14:paraId="65F2CDF8" w14:textId="77777777" w:rsidR="00E84F65" w:rsidRPr="00337287" w:rsidRDefault="00E84F65" w:rsidP="00337287">
      <w:pPr>
        <w:ind w:leftChars="100" w:left="240"/>
        <w:rPr>
          <w:rFonts w:ascii="標楷體" w:eastAsia="標楷體" w:hAnsi="標楷體"/>
        </w:rPr>
      </w:pPr>
      <w:r w:rsidRPr="00337287">
        <w:rPr>
          <w:rFonts w:ascii="標楷體" w:eastAsia="標楷體" w:hAnsi="標楷體" w:hint="eastAsia"/>
        </w:rPr>
        <w:t>王力行（2001年2月20日）•落在世界隊伍的後面•遠見雜誌網•取自http://www.gvm.com.tw/view3.asp?wgvmno =413</w:t>
      </w:r>
    </w:p>
    <w:p w14:paraId="2A33DE34" w14:textId="77777777" w:rsidR="00E84F65" w:rsidRPr="00337287" w:rsidRDefault="00E84F65" w:rsidP="00E84F65">
      <w:pPr>
        <w:rPr>
          <w:rFonts w:ascii="標楷體" w:eastAsia="標楷體" w:hAnsi="標楷體"/>
        </w:rPr>
      </w:pPr>
      <w:r w:rsidRPr="00337287">
        <w:rPr>
          <w:rFonts w:ascii="標楷體" w:eastAsia="標楷體" w:hAnsi="標楷體" w:hint="eastAsia"/>
        </w:rPr>
        <w:t>【雜誌文章，無作者】</w:t>
      </w:r>
    </w:p>
    <w:p w14:paraId="0E7ADDD2" w14:textId="77777777" w:rsidR="00E84F65" w:rsidRPr="00337287" w:rsidRDefault="00E84F65" w:rsidP="00337287">
      <w:pPr>
        <w:ind w:leftChars="100" w:left="240"/>
        <w:rPr>
          <w:rFonts w:ascii="標楷體" w:eastAsia="標楷體" w:hAnsi="標楷體"/>
        </w:rPr>
      </w:pPr>
      <w:r w:rsidRPr="00337287">
        <w:rPr>
          <w:rFonts w:ascii="標楷體" w:eastAsia="標楷體" w:hAnsi="標楷體" w:hint="eastAsia"/>
        </w:rPr>
        <w:t>台灣應用材料公司總經理吳子倩：做好知識管理才能保有優勢（2001年2月19日）。遠見雜誌網•取自http://www.gvm.com.tw/view2.asp?wgvmno=416&amp;orderno=1</w:t>
      </w:r>
    </w:p>
    <w:p w14:paraId="7F9A1079" w14:textId="77777777" w:rsidR="00E84F65" w:rsidRPr="00337287" w:rsidRDefault="00E84F65" w:rsidP="00E84F65">
      <w:pPr>
        <w:rPr>
          <w:rFonts w:ascii="標楷體" w:eastAsia="標楷體" w:hAnsi="標楷體"/>
        </w:rPr>
      </w:pPr>
      <w:r w:rsidRPr="00337287">
        <w:rPr>
          <w:rFonts w:ascii="標楷體" w:eastAsia="標楷體" w:hAnsi="標楷體" w:hint="eastAsia"/>
        </w:rPr>
        <w:t>【媒體報導】</w:t>
      </w:r>
    </w:p>
    <w:p w14:paraId="74234A65" w14:textId="77777777" w:rsidR="00E84F65" w:rsidRPr="00337287" w:rsidRDefault="00E84F65" w:rsidP="00337287">
      <w:pPr>
        <w:ind w:leftChars="100" w:left="240"/>
        <w:rPr>
          <w:rFonts w:ascii="標楷體" w:eastAsia="標楷體" w:hAnsi="標楷體"/>
        </w:rPr>
      </w:pPr>
      <w:r w:rsidRPr="00337287">
        <w:rPr>
          <w:rFonts w:ascii="標楷體" w:eastAsia="標楷體" w:hAnsi="標楷體" w:hint="eastAsia"/>
        </w:rPr>
        <w:t>陳揚盛（2001年2月20日）•基本學力測驗考慮加考國三下課程•台灣立報•取自http://lihpao.shu.edu.tw/</w:t>
      </w:r>
    </w:p>
    <w:p w14:paraId="13074B52" w14:textId="77777777" w:rsidR="00E84F65" w:rsidRPr="00337287" w:rsidRDefault="00E84F65" w:rsidP="00E84F65">
      <w:pPr>
        <w:rPr>
          <w:rFonts w:ascii="標楷體" w:eastAsia="標楷體" w:hAnsi="標楷體"/>
        </w:rPr>
      </w:pPr>
      <w:r w:rsidRPr="00337287">
        <w:rPr>
          <w:rFonts w:ascii="標楷體" w:eastAsia="標楷體" w:hAnsi="標楷體" w:hint="eastAsia"/>
        </w:rPr>
        <w:t>【媒體報導，無作者】</w:t>
      </w:r>
    </w:p>
    <w:p w14:paraId="7210E004" w14:textId="77777777" w:rsidR="00E84F65" w:rsidRPr="00337287" w:rsidRDefault="00E84F65" w:rsidP="00337287">
      <w:pPr>
        <w:ind w:leftChars="100" w:left="240"/>
        <w:rPr>
          <w:rFonts w:ascii="標楷體" w:eastAsia="標楷體" w:hAnsi="標楷體"/>
        </w:rPr>
      </w:pPr>
      <w:r w:rsidRPr="00337287">
        <w:rPr>
          <w:rFonts w:ascii="標楷體" w:eastAsia="標楷體" w:hAnsi="標楷體" w:hint="eastAsia"/>
        </w:rPr>
        <w:t>推動知識經濟發展須腳踏實地（2000年9月5日）•中時電子報•取自http://ec.chinatimes.com.tw/scripts/chinatimes/iscstext.exe?DB= ChinaTimes&amp;Function=ListDoc&amp;From=2&amp;Single=1</w:t>
      </w:r>
    </w:p>
    <w:p w14:paraId="18CB4F70" w14:textId="77777777" w:rsidR="00E84F65" w:rsidRPr="00337287" w:rsidRDefault="00E84F65" w:rsidP="00E84F65">
      <w:pPr>
        <w:rPr>
          <w:rFonts w:ascii="標楷體" w:eastAsia="標楷體" w:hAnsi="標楷體"/>
        </w:rPr>
      </w:pPr>
      <w:r w:rsidRPr="00337287">
        <w:rPr>
          <w:rFonts w:ascii="標楷體" w:eastAsia="標楷體" w:hAnsi="標楷體" w:hint="eastAsia"/>
        </w:rPr>
        <w:t>【摘要及資料庫資料】</w:t>
      </w:r>
    </w:p>
    <w:p w14:paraId="59B1B292" w14:textId="77777777" w:rsidR="00E84F65" w:rsidRPr="00337287" w:rsidRDefault="00E84F65" w:rsidP="00337287">
      <w:pPr>
        <w:ind w:leftChars="100" w:left="240"/>
        <w:rPr>
          <w:rFonts w:ascii="標楷體" w:eastAsia="標楷體" w:hAnsi="標楷體"/>
        </w:rPr>
      </w:pPr>
      <w:r w:rsidRPr="00337287">
        <w:rPr>
          <w:rFonts w:ascii="標楷體" w:eastAsia="標楷體" w:hAnsi="標楷體" w:hint="eastAsia"/>
        </w:rPr>
        <w:t>葉芷嫻（2001）•國民教育階段九年一貫課程政策執行研究─國民中小學教育人員觀點之分析[摘要](未出版的碩士論文) •台北市立師範學院國民教育研究所•取自http://datas.ncl.edu.tw/ theabs/00/</w:t>
      </w:r>
    </w:p>
    <w:p w14:paraId="0CCF1574" w14:textId="77777777" w:rsidR="00E84F65" w:rsidRPr="00337287" w:rsidRDefault="00E84F65" w:rsidP="00E84F65">
      <w:pPr>
        <w:rPr>
          <w:rFonts w:ascii="標楷體" w:eastAsia="標楷體" w:hAnsi="標楷體"/>
        </w:rPr>
      </w:pPr>
      <w:r w:rsidRPr="00337287">
        <w:rPr>
          <w:rFonts w:ascii="標楷體" w:eastAsia="標楷體" w:hAnsi="標楷體" w:hint="eastAsia"/>
        </w:rPr>
        <w:t>【單篇文章】</w:t>
      </w:r>
    </w:p>
    <w:p w14:paraId="071ACAA7" w14:textId="77777777" w:rsidR="00E84F65" w:rsidRPr="00337287" w:rsidRDefault="00E84F65" w:rsidP="00337287">
      <w:pPr>
        <w:ind w:leftChars="100" w:left="240"/>
        <w:rPr>
          <w:rFonts w:ascii="標楷體" w:eastAsia="標楷體" w:hAnsi="標楷體"/>
        </w:rPr>
      </w:pPr>
      <w:r w:rsidRPr="00337287">
        <w:rPr>
          <w:rFonts w:ascii="標楷體" w:eastAsia="標楷體" w:hAnsi="標楷體" w:hint="eastAsia"/>
        </w:rPr>
        <w:t>林天祐（2001年2月20日）•日本公立中小學不適任教師的處理構想•取自http://www.tmtc.edu.tw/~primary</w:t>
      </w:r>
    </w:p>
    <w:p w14:paraId="241A3745" w14:textId="77777777" w:rsidR="00E84F65" w:rsidRPr="00337287" w:rsidRDefault="00E84F65" w:rsidP="00E84F65">
      <w:pPr>
        <w:rPr>
          <w:rFonts w:ascii="標楷體" w:eastAsia="標楷體" w:hAnsi="標楷體"/>
        </w:rPr>
      </w:pPr>
      <w:r w:rsidRPr="00337287">
        <w:rPr>
          <w:rFonts w:ascii="標楷體" w:eastAsia="標楷體" w:hAnsi="標楷體" w:hint="eastAsia"/>
        </w:rPr>
        <w:t>【單篇文章，無作者】</w:t>
      </w:r>
    </w:p>
    <w:p w14:paraId="1B1DEC4F" w14:textId="77777777" w:rsidR="00E84F65" w:rsidRPr="00337287" w:rsidRDefault="00E84F65" w:rsidP="00337287">
      <w:pPr>
        <w:ind w:leftChars="100" w:left="240"/>
        <w:rPr>
          <w:rFonts w:ascii="標楷體" w:eastAsia="標楷體" w:hAnsi="標楷體"/>
        </w:rPr>
      </w:pPr>
      <w:r w:rsidRPr="00337287">
        <w:rPr>
          <w:rFonts w:ascii="標楷體" w:eastAsia="標楷體" w:hAnsi="標楷體" w:hint="eastAsia"/>
        </w:rPr>
        <w:t>什麼是高級中學多元入學？（2001年2月20日）•台北市：教育部•取自</w:t>
      </w:r>
      <w:r w:rsidRPr="00337287">
        <w:rPr>
          <w:rFonts w:ascii="標楷體" w:eastAsia="標楷體" w:hAnsi="標楷體" w:hint="eastAsia"/>
        </w:rPr>
        <w:lastRenderedPageBreak/>
        <w:t>http://www.edu.tw/high-school/bbs/one-1/one-1-1.htm</w:t>
      </w:r>
    </w:p>
    <w:p w14:paraId="65FF44D3" w14:textId="77777777" w:rsidR="00E84F65" w:rsidRPr="00337287" w:rsidRDefault="00E84F65" w:rsidP="00E84F65">
      <w:pPr>
        <w:rPr>
          <w:rFonts w:ascii="標楷體" w:eastAsia="標楷體" w:hAnsi="標楷體"/>
        </w:rPr>
      </w:pPr>
    </w:p>
    <w:p w14:paraId="0D00405A" w14:textId="77777777" w:rsidR="00E84F65" w:rsidRPr="00337287" w:rsidRDefault="00E84F65" w:rsidP="00E84F65">
      <w:pPr>
        <w:rPr>
          <w:rFonts w:ascii="標楷體" w:eastAsia="標楷體" w:hAnsi="標楷體"/>
        </w:rPr>
      </w:pPr>
      <w:r w:rsidRPr="00337287">
        <w:rPr>
          <w:rFonts w:ascii="標楷體" w:eastAsia="標楷體" w:hAnsi="標楷體" w:hint="eastAsia"/>
        </w:rPr>
        <w:t>二、英文部分</w:t>
      </w:r>
    </w:p>
    <w:p w14:paraId="5DB16D2C" w14:textId="77777777" w:rsidR="00E84F65" w:rsidRPr="00337287" w:rsidRDefault="00E84F65" w:rsidP="00E84F65">
      <w:pPr>
        <w:rPr>
          <w:rFonts w:ascii="標楷體" w:eastAsia="標楷體" w:hAnsi="標楷體"/>
        </w:rPr>
      </w:pPr>
      <w:r w:rsidRPr="00337287">
        <w:rPr>
          <w:rFonts w:ascii="標楷體" w:eastAsia="標楷體" w:hAnsi="標楷體" w:hint="eastAsia"/>
        </w:rPr>
        <w:t>【公告事項】</w:t>
      </w:r>
    </w:p>
    <w:p w14:paraId="37C98FCC" w14:textId="77777777" w:rsidR="00E84F65" w:rsidRPr="00337287" w:rsidRDefault="00E84F65" w:rsidP="00337287">
      <w:pPr>
        <w:ind w:leftChars="100" w:left="240"/>
        <w:rPr>
          <w:rFonts w:ascii="標楷體" w:eastAsia="標楷體" w:hAnsi="標楷體"/>
        </w:rPr>
      </w:pPr>
      <w:r w:rsidRPr="00337287">
        <w:rPr>
          <w:rFonts w:ascii="標楷體" w:eastAsia="標楷體" w:hAnsi="標楷體"/>
        </w:rPr>
        <w:t>American Psychological Association. (1995, September 15). APA  public policy action alert: Legislation would affect gran recipients [Announcement]. Washington, DC: Author. Retrieved January 25, 1996, from http://www.apa.org/ppo/istook.html</w:t>
      </w:r>
    </w:p>
    <w:p w14:paraId="34B3CFBB" w14:textId="77777777" w:rsidR="00E84F65" w:rsidRPr="00337287" w:rsidRDefault="00E84F65" w:rsidP="00E84F65">
      <w:pPr>
        <w:rPr>
          <w:rFonts w:ascii="標楷體" w:eastAsia="標楷體" w:hAnsi="標楷體"/>
        </w:rPr>
      </w:pPr>
      <w:r w:rsidRPr="00337287">
        <w:rPr>
          <w:rFonts w:ascii="標楷體" w:eastAsia="標楷體" w:hAnsi="標楷體" w:hint="eastAsia"/>
        </w:rPr>
        <w:t>【期刊文章】</w:t>
      </w:r>
    </w:p>
    <w:p w14:paraId="1C350692" w14:textId="66EF2753" w:rsidR="00E84F65" w:rsidRPr="00337287" w:rsidRDefault="00E84F65" w:rsidP="00337287">
      <w:pPr>
        <w:ind w:leftChars="100" w:left="240"/>
        <w:rPr>
          <w:rFonts w:ascii="標楷體" w:eastAsia="標楷體" w:hAnsi="標楷體"/>
        </w:rPr>
      </w:pPr>
      <w:r w:rsidRPr="00337287">
        <w:rPr>
          <w:rFonts w:ascii="標楷體" w:eastAsia="標楷體" w:hAnsi="標楷體"/>
        </w:rPr>
        <w:t>Jacobson, J. W., Mulick, J. A., &amp; Schwartz, A. A. (1995). A history of facilitated communication: Science, pseudoscience, and antiscience: Science working group on facilitated communication. American Psychologist, 50, 750–765. Retrieved</w:t>
      </w:r>
      <w:r w:rsidR="00337287">
        <w:rPr>
          <w:rFonts w:ascii="標楷體" w:eastAsia="標楷體" w:hAnsi="標楷體"/>
        </w:rPr>
        <w:t xml:space="preserve"> </w:t>
      </w:r>
      <w:r w:rsidRPr="00337287">
        <w:rPr>
          <w:rFonts w:ascii="標楷體" w:eastAsia="標楷體" w:hAnsi="標楷體"/>
        </w:rPr>
        <w:t>January 25, 1996, from http://www.apa.org/journals/jacobson.html</w:t>
      </w:r>
    </w:p>
    <w:p w14:paraId="5E7B8AD4" w14:textId="77777777" w:rsidR="00E84F65" w:rsidRPr="00337287" w:rsidRDefault="00E84F65" w:rsidP="00E84F65">
      <w:pPr>
        <w:rPr>
          <w:rFonts w:ascii="標楷體" w:eastAsia="標楷體" w:hAnsi="標楷體"/>
        </w:rPr>
      </w:pPr>
      <w:r w:rsidRPr="00337287">
        <w:rPr>
          <w:rFonts w:ascii="標楷體" w:eastAsia="標楷體" w:hAnsi="標楷體" w:hint="eastAsia"/>
        </w:rPr>
        <w:t>【雜誌文章，無作者】</w:t>
      </w:r>
    </w:p>
    <w:p w14:paraId="77A675F7" w14:textId="77777777" w:rsidR="00E84F65" w:rsidRPr="00337287" w:rsidRDefault="00E84F65" w:rsidP="00337287">
      <w:pPr>
        <w:ind w:leftChars="100" w:left="240"/>
        <w:rPr>
          <w:rFonts w:ascii="標楷體" w:eastAsia="標楷體" w:hAnsi="標楷體"/>
        </w:rPr>
      </w:pPr>
      <w:r w:rsidRPr="00337287">
        <w:rPr>
          <w:rFonts w:ascii="標楷體" w:eastAsia="標楷體" w:hAnsi="標楷體"/>
        </w:rPr>
        <w:t>From "character" to "personality": The lack of a generally accepted, unifying theory hasn't curbed research into the study of personality. (1999, December). APA Monitor, 30. Retrieved August 22, 2000, from http://www.apa.org/monitor/dec99/ss9.html</w:t>
      </w:r>
    </w:p>
    <w:p w14:paraId="065FBEED" w14:textId="77777777" w:rsidR="00E84F65" w:rsidRPr="00337287" w:rsidRDefault="00E84F65" w:rsidP="00E84F65">
      <w:pPr>
        <w:rPr>
          <w:rFonts w:ascii="標楷體" w:eastAsia="標楷體" w:hAnsi="標楷體"/>
        </w:rPr>
      </w:pPr>
      <w:r w:rsidRPr="00337287">
        <w:rPr>
          <w:rFonts w:ascii="標楷體" w:eastAsia="標楷體" w:hAnsi="標楷體" w:hint="eastAsia"/>
        </w:rPr>
        <w:t>【摘要資料】</w:t>
      </w:r>
    </w:p>
    <w:p w14:paraId="147436E6" w14:textId="77777777" w:rsidR="00E84F65" w:rsidRPr="00337287" w:rsidRDefault="00E84F65" w:rsidP="00337287">
      <w:pPr>
        <w:ind w:leftChars="100" w:left="240"/>
        <w:rPr>
          <w:rFonts w:ascii="標楷體" w:eastAsia="標楷體" w:hAnsi="標楷體"/>
        </w:rPr>
      </w:pPr>
      <w:r w:rsidRPr="00337287">
        <w:rPr>
          <w:rFonts w:ascii="標楷體" w:eastAsia="標楷體" w:hAnsi="標楷體"/>
        </w:rPr>
        <w:t>Rosenthal, R. (1995). State of New Jersey v. Margaret Kelly Michaels: An overview [Abstract]. Psychology, Public Policy, and Law, 1, 247–271. Retrieved January 25, 1996, from http://www.apa.org/journals/ab1.html</w:t>
      </w:r>
    </w:p>
    <w:p w14:paraId="224FD6D4" w14:textId="77777777" w:rsidR="00E84F65" w:rsidRPr="00337287" w:rsidRDefault="00E84F65" w:rsidP="00E84F65">
      <w:pPr>
        <w:rPr>
          <w:rFonts w:ascii="標楷體" w:eastAsia="標楷體" w:hAnsi="標楷體"/>
        </w:rPr>
      </w:pPr>
      <w:r w:rsidRPr="00337287">
        <w:rPr>
          <w:rFonts w:ascii="標楷體" w:eastAsia="標楷體" w:hAnsi="標楷體" w:hint="eastAsia"/>
        </w:rPr>
        <w:t>【單篇文章，無作者】</w:t>
      </w:r>
    </w:p>
    <w:p w14:paraId="2222D629" w14:textId="77777777" w:rsidR="00E84F65" w:rsidRPr="00337287" w:rsidRDefault="00E84F65" w:rsidP="00337287">
      <w:pPr>
        <w:ind w:leftChars="100" w:left="240"/>
        <w:rPr>
          <w:rFonts w:ascii="標楷體" w:eastAsia="標楷體" w:hAnsi="標楷體"/>
        </w:rPr>
      </w:pPr>
      <w:r w:rsidRPr="00337287">
        <w:rPr>
          <w:rFonts w:ascii="標楷體" w:eastAsia="標楷體" w:hAnsi="標楷體"/>
        </w:rPr>
        <w:t>Electronic reference formats recommended by the American Psychological Association. (2000, August 22). Washington, DC: American Psychological Association. Retrieved August 29, 2000, from http://www.apa.org/journals/webref.html</w:t>
      </w:r>
    </w:p>
    <w:p w14:paraId="5E30CBAD" w14:textId="2D7EA2CF" w:rsidR="00A67818" w:rsidRPr="00337287" w:rsidRDefault="00A67818" w:rsidP="00E84F65">
      <w:pPr>
        <w:rPr>
          <w:rFonts w:ascii="標楷體" w:eastAsia="標楷體" w:hAnsi="標楷體"/>
        </w:rPr>
      </w:pPr>
    </w:p>
    <w:sectPr w:rsidR="00A67818" w:rsidRPr="00337287" w:rsidSect="00E84F6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71730" w14:textId="77777777" w:rsidR="009B689D" w:rsidRDefault="009B689D">
      <w:r>
        <w:separator/>
      </w:r>
    </w:p>
  </w:endnote>
  <w:endnote w:type="continuationSeparator" w:id="0">
    <w:p w14:paraId="2AFAB867" w14:textId="77777777" w:rsidR="009B689D" w:rsidRDefault="009B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4CA72" w14:textId="552A1C6C" w:rsidR="00E84F65" w:rsidRDefault="00E84F65">
    <w:pPr>
      <w:pStyle w:val="1"/>
      <w:ind w:right="360" w:firstLine="360"/>
    </w:pPr>
    <w:r>
      <w:rPr>
        <w:noProof/>
      </w:rPr>
      <mc:AlternateContent>
        <mc:Choice Requires="wps">
          <w:drawing>
            <wp:anchor distT="0" distB="0" distL="114300" distR="114300" simplePos="0" relativeHeight="251659264" behindDoc="0" locked="0" layoutInCell="1" allowOverlap="1" wp14:anchorId="37D8D1C0" wp14:editId="4EEC2A93">
              <wp:simplePos x="0" y="0"/>
              <wp:positionH relativeFrom="margin">
                <wp:align>center</wp:align>
              </wp:positionH>
              <wp:positionV relativeFrom="paragraph">
                <wp:posOffset>635</wp:posOffset>
              </wp:positionV>
              <wp:extent cx="127635" cy="146050"/>
              <wp:effectExtent l="0" t="635" r="4445" b="381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51DD78" w14:textId="77777777" w:rsidR="00E84F65" w:rsidRDefault="00E84F65">
                          <w:pPr>
                            <w:pStyle w:val="1"/>
                          </w:pPr>
                          <w:r>
                            <w:rPr>
                              <w:rStyle w:val="a3"/>
                            </w:rPr>
                            <w:fldChar w:fldCharType="begin"/>
                          </w:r>
                          <w:r>
                            <w:rPr>
                              <w:rStyle w:val="a3"/>
                            </w:rPr>
                            <w:instrText xml:space="preserve"> PAGE </w:instrText>
                          </w:r>
                          <w:r>
                            <w:rPr>
                              <w:rStyle w:val="a3"/>
                            </w:rPr>
                            <w:fldChar w:fldCharType="separate"/>
                          </w:r>
                          <w:r w:rsidR="00B836E1">
                            <w:rPr>
                              <w:rStyle w:val="a3"/>
                              <w:noProof/>
                            </w:rPr>
                            <w:t>1</w:t>
                          </w:r>
                          <w:r>
                            <w:rPr>
                              <w:rStyle w:val="a3"/>
                            </w:rPr>
                            <w:fldChar w:fldCharType="end"/>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37D8D1C0" id="_x0000_t202" coordsize="21600,21600" o:spt="202" path="m,l,21600r21600,l21600,xe">
              <v:stroke joinstyle="miter"/>
              <v:path gradientshapeok="t" o:connecttype="rect"/>
            </v:shapetype>
            <v:shape id="文字方塊 2" o:spid="_x0000_s1026" type="#_x0000_t202" style="position:absolute;left:0;text-align:left;margin-left:0;margin-top:.05pt;width:10.05pt;height:1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" stroked="f">
              <v:fill opacity="0"/>
              <v:textbox style="mso-fit-shape-to-text:t" inset="0,0,0,0">
                <w:txbxContent>
                  <w:p w14:paraId="7D51DD78" w14:textId="77777777" w:rsidR="00E84F65" w:rsidRDefault="00E84F65">
                    <w:pPr>
                      <w:pStyle w:val="1"/>
                    </w:pPr>
                    <w:r>
                      <w:rPr>
                        <w:rStyle w:val="a3"/>
                      </w:rPr>
                      <w:fldChar w:fldCharType="begin"/>
                    </w:r>
                    <w:r>
                      <w:rPr>
                        <w:rStyle w:val="a3"/>
                      </w:rPr>
                      <w:instrText xml:space="preserve"> PAGE </w:instrText>
                    </w:r>
                    <w:r>
                      <w:rPr>
                        <w:rStyle w:val="a3"/>
                      </w:rPr>
                      <w:fldChar w:fldCharType="separate"/>
                    </w:r>
                    <w:r w:rsidR="00B836E1">
                      <w:rPr>
                        <w:rStyle w:val="a3"/>
                        <w:noProof/>
                      </w:rPr>
                      <w:t>1</w:t>
                    </w:r>
                    <w:r>
                      <w:rPr>
                        <w:rStyle w:val="a3"/>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EA79B" w14:textId="7C1EAFE9" w:rsidR="00E84F65" w:rsidRDefault="00E84F65">
    <w:pPr>
      <w:pStyle w:val="1"/>
      <w:ind w:right="360" w:firstLine="360"/>
    </w:pPr>
    <w:r>
      <w:rPr>
        <w:noProof/>
      </w:rPr>
      <mc:AlternateContent>
        <mc:Choice Requires="wps">
          <w:drawing>
            <wp:anchor distT="0" distB="0" distL="114300" distR="114300" simplePos="0" relativeHeight="251660288" behindDoc="0" locked="0" layoutInCell="1" allowOverlap="1" wp14:anchorId="13F37165" wp14:editId="5ADA19DA">
              <wp:simplePos x="0" y="0"/>
              <wp:positionH relativeFrom="margin">
                <wp:align>center</wp:align>
              </wp:positionH>
              <wp:positionV relativeFrom="paragraph">
                <wp:posOffset>635</wp:posOffset>
              </wp:positionV>
              <wp:extent cx="127635" cy="146050"/>
              <wp:effectExtent l="0" t="635" r="4445" b="381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043918" w14:textId="77777777" w:rsidR="00E84F65" w:rsidRDefault="00E84F65">
                          <w:pPr>
                            <w:pStyle w:val="1"/>
                          </w:pPr>
                          <w:r>
                            <w:rPr>
                              <w:rStyle w:val="a3"/>
                            </w:rPr>
                            <w:fldChar w:fldCharType="begin"/>
                          </w:r>
                          <w:r>
                            <w:rPr>
                              <w:rStyle w:val="a3"/>
                            </w:rPr>
                            <w:instrText xml:space="preserve"> PAGE </w:instrText>
                          </w:r>
                          <w:r>
                            <w:rPr>
                              <w:rStyle w:val="a3"/>
                            </w:rPr>
                            <w:fldChar w:fldCharType="separate"/>
                          </w:r>
                          <w:r w:rsidR="00B836E1">
                            <w:rPr>
                              <w:rStyle w:val="a3"/>
                              <w:noProof/>
                            </w:rPr>
                            <w:t>6</w:t>
                          </w:r>
                          <w:r>
                            <w:rPr>
                              <w:rStyle w:val="a3"/>
                            </w:rPr>
                            <w:fldChar w:fldCharType="end"/>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13F37165" id="_x0000_t202" coordsize="21600,21600" o:spt="202" path="m,l,21600r21600,l21600,xe">
              <v:stroke joinstyle="miter"/>
              <v:path gradientshapeok="t" o:connecttype="rect"/>
            </v:shapetype>
            <v:shape id="文字方塊 1" o:spid="_x0000_s1027" type="#_x0000_t202" style="position:absolute;left:0;text-align:left;margin-left:0;margin-top:.05pt;width:10.05pt;height:1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" stroked="f">
              <v:fill opacity="0"/>
              <v:textbox style="mso-fit-shape-to-text:t" inset="0,0,0,0">
                <w:txbxContent>
                  <w:p w14:paraId="47043918" w14:textId="77777777" w:rsidR="00E84F65" w:rsidRDefault="00E84F65">
                    <w:pPr>
                      <w:pStyle w:val="1"/>
                    </w:pPr>
                    <w:r>
                      <w:rPr>
                        <w:rStyle w:val="a3"/>
                      </w:rPr>
                      <w:fldChar w:fldCharType="begin"/>
                    </w:r>
                    <w:r>
                      <w:rPr>
                        <w:rStyle w:val="a3"/>
                      </w:rPr>
                      <w:instrText xml:space="preserve"> PAGE </w:instrText>
                    </w:r>
                    <w:r>
                      <w:rPr>
                        <w:rStyle w:val="a3"/>
                      </w:rPr>
                      <w:fldChar w:fldCharType="separate"/>
                    </w:r>
                    <w:r w:rsidR="00B836E1">
                      <w:rPr>
                        <w:rStyle w:val="a3"/>
                        <w:noProof/>
                      </w:rPr>
                      <w:t>6</w:t>
                    </w:r>
                    <w:r>
                      <w:rPr>
                        <w:rStyle w:val="a3"/>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54812" w14:textId="77777777" w:rsidR="009B689D" w:rsidRDefault="009B689D">
      <w:r>
        <w:separator/>
      </w:r>
    </w:p>
  </w:footnote>
  <w:footnote w:type="continuationSeparator" w:id="0">
    <w:p w14:paraId="15FAC934" w14:textId="77777777" w:rsidR="009B689D" w:rsidRDefault="009B6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1F58A" w14:textId="77777777" w:rsidR="00E84F65" w:rsidRDefault="00E84F65">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F3224" w14:textId="77777777" w:rsidR="00E84F65" w:rsidRDefault="00E84F65">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1A033F"/>
    <w:multiLevelType w:val="multilevel"/>
    <w:tmpl w:val="5538DF9C"/>
    <w:styleLink w:val="WWNum3"/>
    <w:lvl w:ilvl="0">
      <w:start w:val="1"/>
      <w:numFmt w:val="ideographLegalTraditional"/>
      <w:lvlText w:val="%1、"/>
      <w:lvlJc w:val="left"/>
    </w:lvl>
    <w:lvl w:ilvl="1">
      <w:start w:val="1"/>
      <w:numFmt w:val="japaneseCounting"/>
      <w:lvlText w:val="%2、"/>
      <w:lvlJc w:val="left"/>
    </w:lvl>
    <w:lvl w:ilvl="2">
      <w:start w:val="1"/>
      <w:numFmt w:val="decimal"/>
      <w:lvlText w:val="%3."/>
      <w:lvlJc w:val="left"/>
    </w:lvl>
    <w:lvl w:ilvl="3">
      <w:start w:val="1"/>
      <w:numFmt w:val="ideographLegalTradition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F65"/>
    <w:rsid w:val="00337287"/>
    <w:rsid w:val="009B689D"/>
    <w:rsid w:val="00A67818"/>
    <w:rsid w:val="00B836E1"/>
    <w:rsid w:val="00D34C70"/>
    <w:rsid w:val="00E84F65"/>
    <w:rsid w:val="00F278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C0A33"/>
  <w15:chartTrackingRefBased/>
  <w15:docId w15:val="{D55E6CED-D16C-4B2F-83E0-B798464B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F65"/>
    <w:pPr>
      <w:widowControl w:val="0"/>
      <w:suppressAutoHyphens/>
      <w:autoSpaceDN w:val="0"/>
      <w:textAlignment w:val="baseline"/>
    </w:pPr>
    <w:rPr>
      <w:rFonts w:ascii="Times New Roman" w:eastAsia="新細明體" w:hAnsi="Times New Roman"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84F65"/>
    <w:pPr>
      <w:widowControl w:val="0"/>
      <w:suppressAutoHyphens/>
      <w:autoSpaceDN w:val="0"/>
      <w:textAlignment w:val="baseline"/>
    </w:pPr>
    <w:rPr>
      <w:rFonts w:ascii="Times New Roman" w:eastAsia="新細明體" w:hAnsi="Times New Roman" w:cs="Times New Roman"/>
      <w:kern w:val="3"/>
      <w:szCs w:val="20"/>
    </w:rPr>
  </w:style>
  <w:style w:type="paragraph" w:customStyle="1" w:styleId="1">
    <w:name w:val="頁尾1"/>
    <w:basedOn w:val="Standard"/>
    <w:rsid w:val="00E84F65"/>
    <w:pPr>
      <w:tabs>
        <w:tab w:val="center" w:pos="4153"/>
        <w:tab w:val="right" w:pos="8306"/>
      </w:tabs>
      <w:snapToGrid w:val="0"/>
    </w:pPr>
    <w:rPr>
      <w:sz w:val="20"/>
    </w:rPr>
  </w:style>
  <w:style w:type="paragraph" w:customStyle="1" w:styleId="10">
    <w:name w:val="頁首1"/>
    <w:basedOn w:val="Standard"/>
    <w:rsid w:val="00E84F65"/>
    <w:pPr>
      <w:tabs>
        <w:tab w:val="center" w:pos="4153"/>
        <w:tab w:val="right" w:pos="8306"/>
      </w:tabs>
      <w:snapToGrid w:val="0"/>
    </w:pPr>
    <w:rPr>
      <w:sz w:val="20"/>
    </w:rPr>
  </w:style>
  <w:style w:type="character" w:styleId="a3">
    <w:name w:val="page number"/>
    <w:basedOn w:val="a0"/>
    <w:rsid w:val="00E84F65"/>
  </w:style>
  <w:style w:type="numbering" w:customStyle="1" w:styleId="WWNum3">
    <w:name w:val="WWNum3"/>
    <w:basedOn w:val="a2"/>
    <w:rsid w:val="00E84F6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709</Words>
  <Characters>4044</Characters>
  <Application>Microsoft Office Word</Application>
  <DocSecurity>0</DocSecurity>
  <Lines>33</Lines>
  <Paragraphs>9</Paragraphs>
  <ScaleCrop>false</ScaleCrop>
  <Company/>
  <LinksUpToDate>false</LinksUpToDate>
  <CharactersWithSpaces>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Chang</dc:creator>
  <cp:keywords/>
  <dc:description/>
  <cp:lastModifiedBy>user</cp:lastModifiedBy>
  <cp:revision>2</cp:revision>
  <dcterms:created xsi:type="dcterms:W3CDTF">2025-02-17T08:29:00Z</dcterms:created>
  <dcterms:modified xsi:type="dcterms:W3CDTF">2025-02-17T08:29:00Z</dcterms:modified>
</cp:coreProperties>
</file>